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0A" w:rsidRDefault="00A24C53" w:rsidP="000D64EB">
      <w:pPr>
        <w:jc w:val="both"/>
        <w:rPr>
          <w:rFonts w:asciiTheme="minorHAnsi" w:hAnsiTheme="minorHAnsi" w:cs="Arial"/>
          <w:sz w:val="22"/>
          <w:szCs w:val="22"/>
        </w:rPr>
      </w:pPr>
      <w:r>
        <w:rPr>
          <w:noProof/>
          <w:lang w:eastAsia="en-ZA"/>
        </w:rPr>
        <mc:AlternateContent>
          <mc:Choice Requires="wps">
            <w:drawing>
              <wp:anchor distT="0" distB="0" distL="114300" distR="114300" simplePos="0" relativeHeight="251663360" behindDoc="0" locked="0" layoutInCell="1" allowOverlap="1">
                <wp:simplePos x="0" y="0"/>
                <wp:positionH relativeFrom="column">
                  <wp:posOffset>4464050</wp:posOffset>
                </wp:positionH>
                <wp:positionV relativeFrom="paragraph">
                  <wp:posOffset>-47625</wp:posOffset>
                </wp:positionV>
                <wp:extent cx="1803400" cy="4387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38785"/>
                        </a:xfrm>
                        <a:prstGeom prst="rect">
                          <a:avLst/>
                        </a:prstGeom>
                        <a:noFill/>
                        <a:ln w="9525">
                          <a:noFill/>
                          <a:miter lim="800000"/>
                          <a:headEnd/>
                          <a:tailEnd/>
                        </a:ln>
                      </wps:spPr>
                      <wps:txbx>
                        <w:txbxContent>
                          <w:p w:rsidR="000F34A9" w:rsidRPr="000F34A9" w:rsidRDefault="001179B0" w:rsidP="000F34A9">
                            <w:pPr>
                              <w:jc w:val="center"/>
                              <w:rPr>
                                <w:rFonts w:asciiTheme="minorHAnsi" w:hAnsiTheme="minorHAnsi"/>
                                <w:color w:val="000000" w:themeColor="text1"/>
                                <w:sz w:val="20"/>
                              </w:rPr>
                            </w:pPr>
                            <w:r w:rsidRPr="001179B0">
                              <w:rPr>
                                <w:rFonts w:asciiTheme="minorHAnsi" w:hAnsiTheme="minorHAnsi"/>
                                <w:color w:val="000000" w:themeColor="text1"/>
                                <w:sz w:val="20"/>
                              </w:rPr>
                              <w:t xml:space="preserve">Edition </w:t>
                            </w:r>
                            <w:r>
                              <w:rPr>
                                <w:rFonts w:asciiTheme="minorHAnsi" w:hAnsiTheme="minorHAnsi"/>
                                <w:color w:val="000000" w:themeColor="text1"/>
                                <w:sz w:val="20"/>
                              </w:rPr>
                              <w:t>7</w:t>
                            </w:r>
                            <w:r w:rsidR="00384006">
                              <w:rPr>
                                <w:rFonts w:asciiTheme="minorHAnsi" w:hAnsiTheme="minorHAnsi"/>
                                <w:color w:val="000000" w:themeColor="text1"/>
                                <w:sz w:val="20"/>
                              </w:rPr>
                              <w:t>8</w:t>
                            </w:r>
                            <w:r>
                              <w:rPr>
                                <w:rFonts w:asciiTheme="minorHAnsi" w:hAnsiTheme="minorHAnsi"/>
                                <w:color w:val="000000" w:themeColor="text1"/>
                                <w:sz w:val="20"/>
                              </w:rPr>
                              <w:t>:</w:t>
                            </w:r>
                            <w:r w:rsidRPr="001179B0">
                              <w:rPr>
                                <w:rFonts w:asciiTheme="minorHAnsi" w:hAnsiTheme="minorHAnsi"/>
                                <w:color w:val="000000" w:themeColor="text1"/>
                                <w:sz w:val="20"/>
                              </w:rPr>
                              <w:t xml:space="preserve"> </w:t>
                            </w:r>
                            <w:r w:rsidR="000A336A">
                              <w:rPr>
                                <w:rFonts w:asciiTheme="minorHAnsi" w:hAnsiTheme="minorHAnsi"/>
                                <w:color w:val="000000" w:themeColor="text1"/>
                                <w:sz w:val="20"/>
                              </w:rPr>
                              <w:t>September</w:t>
                            </w:r>
                            <w:r w:rsidRPr="001179B0">
                              <w:rPr>
                                <w:rFonts w:asciiTheme="minorHAnsi" w:hAnsiTheme="minorHAnsi"/>
                                <w:color w:val="000000" w:themeColor="text1"/>
                                <w:sz w:val="20"/>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5pt;margin-top:-3.75pt;width:142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" filled="f" stroked="f">
                <v:textbox>
                  <w:txbxContent>
                    <w:p w:rsidR="000F34A9" w:rsidRPr="000F34A9" w:rsidRDefault="001179B0" w:rsidP="000F34A9">
                      <w:pPr>
                        <w:jc w:val="center"/>
                        <w:rPr>
                          <w:rFonts w:asciiTheme="minorHAnsi" w:hAnsiTheme="minorHAnsi"/>
                          <w:color w:val="000000" w:themeColor="text1"/>
                          <w:sz w:val="20"/>
                        </w:rPr>
                      </w:pPr>
                      <w:r w:rsidRPr="001179B0">
                        <w:rPr>
                          <w:rFonts w:asciiTheme="minorHAnsi" w:hAnsiTheme="minorHAnsi"/>
                          <w:color w:val="000000" w:themeColor="text1"/>
                          <w:sz w:val="20"/>
                        </w:rPr>
                        <w:t xml:space="preserve">Edition </w:t>
                      </w:r>
                      <w:r>
                        <w:rPr>
                          <w:rFonts w:asciiTheme="minorHAnsi" w:hAnsiTheme="minorHAnsi"/>
                          <w:color w:val="000000" w:themeColor="text1"/>
                          <w:sz w:val="20"/>
                        </w:rPr>
                        <w:t>7</w:t>
                      </w:r>
                      <w:r w:rsidR="00384006">
                        <w:rPr>
                          <w:rFonts w:asciiTheme="minorHAnsi" w:hAnsiTheme="minorHAnsi"/>
                          <w:color w:val="000000" w:themeColor="text1"/>
                          <w:sz w:val="20"/>
                        </w:rPr>
                        <w:t>8</w:t>
                      </w:r>
                      <w:r>
                        <w:rPr>
                          <w:rFonts w:asciiTheme="minorHAnsi" w:hAnsiTheme="minorHAnsi"/>
                          <w:color w:val="000000" w:themeColor="text1"/>
                          <w:sz w:val="20"/>
                        </w:rPr>
                        <w:t>:</w:t>
                      </w:r>
                      <w:r w:rsidRPr="001179B0">
                        <w:rPr>
                          <w:rFonts w:asciiTheme="minorHAnsi" w:hAnsiTheme="minorHAnsi"/>
                          <w:color w:val="000000" w:themeColor="text1"/>
                          <w:sz w:val="20"/>
                        </w:rPr>
                        <w:t xml:space="preserve"> </w:t>
                      </w:r>
                      <w:r w:rsidR="000A336A">
                        <w:rPr>
                          <w:rFonts w:asciiTheme="minorHAnsi" w:hAnsiTheme="minorHAnsi"/>
                          <w:color w:val="000000" w:themeColor="text1"/>
                          <w:sz w:val="20"/>
                        </w:rPr>
                        <w:t>September</w:t>
                      </w:r>
                      <w:r w:rsidRPr="001179B0">
                        <w:rPr>
                          <w:rFonts w:asciiTheme="minorHAnsi" w:hAnsiTheme="minorHAnsi"/>
                          <w:color w:val="000000" w:themeColor="text1"/>
                          <w:sz w:val="20"/>
                        </w:rPr>
                        <w:t xml:space="preserve"> 2017</w:t>
                      </w:r>
                    </w:p>
                  </w:txbxContent>
                </v:textbox>
              </v:shape>
            </w:pict>
          </mc:Fallback>
        </mc:AlternateContent>
      </w:r>
    </w:p>
    <w:p w:rsidR="00E33597" w:rsidRDefault="00A24C53" w:rsidP="000D64EB">
      <w:pPr>
        <w:jc w:val="both"/>
        <w:rPr>
          <w:rFonts w:asciiTheme="minorHAnsi" w:hAnsiTheme="minorHAnsi" w:cs="Arial"/>
          <w:sz w:val="22"/>
          <w:szCs w:val="22"/>
        </w:rPr>
      </w:pPr>
      <w:r>
        <w:rPr>
          <w:noProof/>
          <w:lang w:eastAsia="en-ZA"/>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10795</wp:posOffset>
                </wp:positionV>
                <wp:extent cx="7825740" cy="336550"/>
                <wp:effectExtent l="17145" t="12700" r="15240" b="1270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740" cy="336550"/>
                        </a:xfrm>
                        <a:prstGeom prst="rect">
                          <a:avLst/>
                        </a:prstGeom>
                        <a:noFill/>
                        <a:ln w="25400">
                          <a:solidFill>
                            <a:schemeClr val="bg1">
                              <a:lumMod val="85000"/>
                              <a:lumOff val="0"/>
                            </a:schemeClr>
                          </a:solidFill>
                          <a:prstDash val="sysDot"/>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E3D14" w:rsidRPr="00CE3D14" w:rsidRDefault="00384006" w:rsidP="00CE3D14">
                            <w:pPr>
                              <w:spacing w:line="216" w:lineRule="auto"/>
                              <w:jc w:val="center"/>
                              <w:rPr>
                                <w:rFonts w:ascii="Century Gothic" w:hAnsi="Century Gothic" w:cstheme="minorHAnsi"/>
                                <w:b/>
                                <w:bCs/>
                                <w:color w:val="C00000"/>
                                <w:sz w:val="32"/>
                              </w:rPr>
                            </w:pPr>
                            <w:r w:rsidRPr="00384006">
                              <w:rPr>
                                <w:rFonts w:ascii="Century Gothic" w:hAnsi="Century Gothic" w:cstheme="minorHAnsi"/>
                                <w:b/>
                                <w:bCs/>
                                <w:color w:val="C00000"/>
                                <w:sz w:val="32"/>
                              </w:rPr>
                              <w:t>Legislative and Industry Updates</w:t>
                            </w:r>
                          </w:p>
                          <w:p w:rsidR="000F34A9" w:rsidRPr="0008721D" w:rsidRDefault="000F34A9" w:rsidP="001179B0">
                            <w:pPr>
                              <w:spacing w:line="216" w:lineRule="auto"/>
                              <w:jc w:val="center"/>
                              <w:rPr>
                                <w:rStyle w:val="Strong"/>
                                <w:rFonts w:ascii="Century Gothic" w:hAnsi="Century Gothic" w:cstheme="minorHAnsi"/>
                                <w:color w:val="C00000"/>
                                <w:sz w:val="3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03.5pt;margin-top:.85pt;width:616.2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" filled="f" fillcolor="white [3212]" strokecolor="#d8d8d8 [2732]" strokeweight="2pt">
                <v:stroke dashstyle="1 1"/>
                <v:textbox inset=",,,0">
                  <w:txbxContent>
                    <w:p w:rsidR="00CE3D14" w:rsidRPr="00CE3D14" w:rsidRDefault="00384006" w:rsidP="00CE3D14">
                      <w:pPr>
                        <w:spacing w:line="216" w:lineRule="auto"/>
                        <w:jc w:val="center"/>
                        <w:rPr>
                          <w:rFonts w:ascii="Century Gothic" w:hAnsi="Century Gothic" w:cstheme="minorHAnsi"/>
                          <w:b/>
                          <w:bCs/>
                          <w:color w:val="C00000"/>
                          <w:sz w:val="32"/>
                        </w:rPr>
                      </w:pPr>
                      <w:r w:rsidRPr="00384006">
                        <w:rPr>
                          <w:rFonts w:ascii="Century Gothic" w:hAnsi="Century Gothic" w:cstheme="minorHAnsi"/>
                          <w:b/>
                          <w:bCs/>
                          <w:color w:val="C00000"/>
                          <w:sz w:val="32"/>
                        </w:rPr>
                        <w:t>Legislative and Industry Updates</w:t>
                      </w:r>
                    </w:p>
                    <w:p w:rsidR="000F34A9" w:rsidRPr="0008721D" w:rsidRDefault="000F34A9" w:rsidP="001179B0">
                      <w:pPr>
                        <w:spacing w:line="216" w:lineRule="auto"/>
                        <w:jc w:val="center"/>
                        <w:rPr>
                          <w:rStyle w:val="Strong"/>
                          <w:rFonts w:ascii="Century Gothic" w:hAnsi="Century Gothic" w:cstheme="minorHAnsi"/>
                          <w:color w:val="C00000"/>
                          <w:sz w:val="32"/>
                        </w:rPr>
                      </w:pPr>
                    </w:p>
                  </w:txbxContent>
                </v:textbox>
              </v:shape>
            </w:pict>
          </mc:Fallback>
        </mc:AlternateContent>
      </w:r>
    </w:p>
    <w:p w:rsidR="000F34A9" w:rsidRDefault="000F34A9" w:rsidP="000D64EB">
      <w:pPr>
        <w:jc w:val="both"/>
        <w:rPr>
          <w:rFonts w:asciiTheme="minorHAnsi" w:hAnsiTheme="minorHAnsi" w:cs="Arial"/>
          <w:sz w:val="22"/>
          <w:szCs w:val="22"/>
        </w:rPr>
      </w:pPr>
    </w:p>
    <w:p w:rsidR="000F34A9" w:rsidRPr="006A3E0A" w:rsidRDefault="00450A00" w:rsidP="000D64EB">
      <w:pPr>
        <w:jc w:val="both"/>
        <w:rPr>
          <w:rFonts w:asciiTheme="minorHAnsi" w:hAnsiTheme="minorHAnsi" w:cs="Arial"/>
          <w:sz w:val="16"/>
          <w:szCs w:val="22"/>
        </w:rPr>
      </w:pPr>
      <w:r w:rsidRPr="00D01EE1">
        <w:rPr>
          <w:rFonts w:asciiTheme="minorHAnsi" w:hAnsiTheme="minorHAnsi" w:cs="Arial"/>
          <w:b/>
          <w:noProof/>
          <w:color w:val="FFFFFF" w:themeColor="background1"/>
          <w:sz w:val="28"/>
          <w:szCs w:val="28"/>
          <w:lang w:eastAsia="en-ZA"/>
        </w:rPr>
        <w:drawing>
          <wp:anchor distT="0" distB="0" distL="114300" distR="114300" simplePos="0" relativeHeight="251685888" behindDoc="1" locked="0" layoutInCell="1" allowOverlap="1" wp14:anchorId="0A1756FF" wp14:editId="3C71366D">
            <wp:simplePos x="0" y="0"/>
            <wp:positionH relativeFrom="margin">
              <wp:posOffset>-639445</wp:posOffset>
            </wp:positionH>
            <wp:positionV relativeFrom="paragraph">
              <wp:posOffset>58420</wp:posOffset>
            </wp:positionV>
            <wp:extent cx="7575550" cy="558800"/>
            <wp:effectExtent l="0" t="0" r="0" b="0"/>
            <wp:wrapNone/>
            <wp:docPr id="2" name="Picture 11" descr="I:\NMG\Prop\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G\Prop\br2.jpg"/>
                    <pic:cNvPicPr>
                      <a:picLocks noChangeAspect="1" noChangeArrowheads="1"/>
                    </pic:cNvPicPr>
                  </pic:nvPicPr>
                  <pic:blipFill>
                    <a:blip r:embed="rId8" cstate="print"/>
                    <a:srcRect/>
                    <a:stretch>
                      <a:fillRect/>
                    </a:stretch>
                  </pic:blipFill>
                  <pic:spPr bwMode="auto">
                    <a:xfrm>
                      <a:off x="0" y="0"/>
                      <a:ext cx="7575550" cy="558800"/>
                    </a:xfrm>
                    <a:prstGeom prst="rect">
                      <a:avLst/>
                    </a:prstGeom>
                    <a:noFill/>
                    <a:ln w="9525">
                      <a:noFill/>
                      <a:miter lim="800000"/>
                      <a:headEnd/>
                      <a:tailEnd/>
                    </a:ln>
                  </pic:spPr>
                </pic:pic>
              </a:graphicData>
            </a:graphic>
            <wp14:sizeRelV relativeFrom="margin">
              <wp14:pctHeight>0</wp14:pctHeight>
            </wp14:sizeRelV>
          </wp:anchor>
        </w:drawing>
      </w:r>
    </w:p>
    <w:p w:rsidR="00CE3D14" w:rsidRPr="00CE3D14" w:rsidRDefault="00384006" w:rsidP="006A3E0A">
      <w:pPr>
        <w:pStyle w:val="ListParagraph"/>
        <w:numPr>
          <w:ilvl w:val="0"/>
          <w:numId w:val="16"/>
        </w:numPr>
        <w:rPr>
          <w:rFonts w:ascii="Century Gothic" w:eastAsiaTheme="minorEastAsia" w:hAnsi="Century Gothic" w:cs="Arial"/>
          <w:b/>
          <w:bCs/>
          <w:iCs/>
          <w:color w:val="FFFFFF" w:themeColor="background1"/>
          <w:sz w:val="28"/>
          <w:szCs w:val="26"/>
          <w:lang w:eastAsia="en-ZA"/>
        </w:rPr>
      </w:pPr>
      <w:r w:rsidRPr="006A3E0A">
        <w:rPr>
          <w:rFonts w:ascii="Century Gothic" w:eastAsiaTheme="minorEastAsia" w:hAnsi="Century Gothic" w:cs="Arial"/>
          <w:b/>
          <w:bCs/>
          <w:iCs/>
          <w:color w:val="FFFFFF" w:themeColor="background1"/>
          <w:sz w:val="28"/>
          <w:szCs w:val="26"/>
          <w:lang w:val="en-ZA" w:eastAsia="en-ZA"/>
        </w:rPr>
        <w:t>FSB</w:t>
      </w:r>
      <w:r w:rsidRPr="00384006">
        <w:rPr>
          <w:rFonts w:ascii="Century Gothic" w:eastAsiaTheme="minorEastAsia" w:hAnsi="Century Gothic" w:cs="Arial"/>
          <w:b/>
          <w:bCs/>
          <w:iCs/>
          <w:color w:val="FFFFFF" w:themeColor="background1"/>
          <w:sz w:val="28"/>
          <w:szCs w:val="26"/>
          <w:lang w:eastAsia="en-ZA"/>
        </w:rPr>
        <w:t xml:space="preserve"> Levies: 2017 / 2018</w:t>
      </w:r>
    </w:p>
    <w:p w:rsidR="00CE3D14" w:rsidRPr="006A3E0A" w:rsidRDefault="00CE3D14" w:rsidP="00CE3D14">
      <w:pPr>
        <w:pStyle w:val="NoSpacing"/>
        <w:spacing w:line="235" w:lineRule="auto"/>
        <w:jc w:val="both"/>
        <w:rPr>
          <w:rFonts w:asciiTheme="minorHAnsi" w:hAnsiTheme="minorHAnsi" w:cs="Arial"/>
          <w:sz w:val="14"/>
          <w:szCs w:val="21"/>
          <w:lang w:val="en-ZA"/>
        </w:rPr>
      </w:pPr>
    </w:p>
    <w:tbl>
      <w:tblPr>
        <w:tblW w:w="8379" w:type="dxa"/>
        <w:tblInd w:w="93" w:type="dxa"/>
        <w:tblLayout w:type="fixed"/>
        <w:tblLook w:val="04A0" w:firstRow="1" w:lastRow="0" w:firstColumn="1" w:lastColumn="0" w:noHBand="0" w:noVBand="1"/>
      </w:tblPr>
      <w:tblGrid>
        <w:gridCol w:w="2567"/>
        <w:gridCol w:w="1134"/>
        <w:gridCol w:w="2268"/>
        <w:gridCol w:w="2410"/>
      </w:tblGrid>
      <w:tr w:rsidR="00384006" w:rsidRPr="00315F1A" w:rsidTr="00384006">
        <w:trPr>
          <w:trHeight w:val="287"/>
        </w:trPr>
        <w:tc>
          <w:tcPr>
            <w:tcW w:w="2567"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rPr>
                <w:rFonts w:ascii="Calibri" w:hAnsi="Calibri"/>
                <w:color w:val="000000"/>
                <w:sz w:val="19"/>
                <w:szCs w:val="19"/>
              </w:rPr>
            </w:pPr>
            <w:r w:rsidRPr="00C64225">
              <w:rPr>
                <w:rFonts w:ascii="Calibri" w:hAnsi="Calibri"/>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C41226"/>
            <w:vAlign w:val="center"/>
            <w:hideMark/>
          </w:tcPr>
          <w:p w:rsidR="00384006" w:rsidRPr="00384006" w:rsidRDefault="00384006" w:rsidP="003B2638">
            <w:pPr>
              <w:jc w:val="center"/>
              <w:rPr>
                <w:rFonts w:ascii="Calibri" w:hAnsi="Calibri"/>
                <w:b/>
                <w:bCs/>
                <w:color w:val="FFFFFF" w:themeColor="background1"/>
                <w:sz w:val="19"/>
                <w:szCs w:val="19"/>
              </w:rPr>
            </w:pPr>
            <w:r w:rsidRPr="00384006">
              <w:rPr>
                <w:rFonts w:ascii="Calibri" w:hAnsi="Calibri"/>
                <w:b/>
                <w:bCs/>
                <w:color w:val="FFFFFF" w:themeColor="background1"/>
                <w:sz w:val="19"/>
                <w:szCs w:val="19"/>
              </w:rPr>
              <w:t>% Change</w:t>
            </w:r>
          </w:p>
        </w:tc>
        <w:tc>
          <w:tcPr>
            <w:tcW w:w="2268" w:type="dxa"/>
            <w:tcBorders>
              <w:top w:val="single" w:sz="8" w:space="0" w:color="auto"/>
              <w:left w:val="nil"/>
              <w:bottom w:val="single" w:sz="8" w:space="0" w:color="auto"/>
              <w:right w:val="single" w:sz="8" w:space="0" w:color="auto"/>
            </w:tcBorders>
            <w:shd w:val="clear" w:color="auto" w:fill="C41226"/>
            <w:vAlign w:val="center"/>
            <w:hideMark/>
          </w:tcPr>
          <w:p w:rsidR="00384006" w:rsidRPr="00384006" w:rsidRDefault="00384006" w:rsidP="003B2638">
            <w:pPr>
              <w:jc w:val="center"/>
              <w:rPr>
                <w:rFonts w:ascii="Calibri" w:hAnsi="Calibri"/>
                <w:b/>
                <w:bCs/>
                <w:color w:val="FFFFFF" w:themeColor="background1"/>
                <w:sz w:val="19"/>
                <w:szCs w:val="19"/>
              </w:rPr>
            </w:pPr>
            <w:r w:rsidRPr="00384006">
              <w:rPr>
                <w:rFonts w:ascii="Calibri" w:hAnsi="Calibri"/>
                <w:b/>
                <w:bCs/>
                <w:color w:val="FFFFFF" w:themeColor="background1"/>
                <w:sz w:val="19"/>
                <w:szCs w:val="19"/>
              </w:rPr>
              <w:t>2017/2018</w:t>
            </w:r>
          </w:p>
        </w:tc>
        <w:tc>
          <w:tcPr>
            <w:tcW w:w="2410" w:type="dxa"/>
            <w:tcBorders>
              <w:top w:val="single" w:sz="8" w:space="0" w:color="auto"/>
              <w:left w:val="nil"/>
              <w:bottom w:val="single" w:sz="8" w:space="0" w:color="auto"/>
              <w:right w:val="single" w:sz="8" w:space="0" w:color="auto"/>
            </w:tcBorders>
            <w:shd w:val="clear" w:color="auto" w:fill="C41226"/>
            <w:vAlign w:val="center"/>
            <w:hideMark/>
          </w:tcPr>
          <w:p w:rsidR="00384006" w:rsidRPr="00384006" w:rsidRDefault="00384006" w:rsidP="003B2638">
            <w:pPr>
              <w:jc w:val="center"/>
              <w:rPr>
                <w:rFonts w:ascii="Calibri" w:hAnsi="Calibri"/>
                <w:b/>
                <w:bCs/>
                <w:color w:val="FFFFFF" w:themeColor="background1"/>
                <w:sz w:val="19"/>
                <w:szCs w:val="19"/>
              </w:rPr>
            </w:pPr>
            <w:r w:rsidRPr="00384006">
              <w:rPr>
                <w:rFonts w:ascii="Calibri" w:hAnsi="Calibri"/>
                <w:b/>
                <w:bCs/>
                <w:color w:val="FFFFFF" w:themeColor="background1"/>
                <w:sz w:val="19"/>
                <w:szCs w:val="19"/>
              </w:rPr>
              <w:t>2016/2017</w:t>
            </w:r>
          </w:p>
        </w:tc>
      </w:tr>
      <w:tr w:rsidR="00384006" w:rsidRPr="00384006" w:rsidTr="00384006">
        <w:trPr>
          <w:trHeight w:val="300"/>
        </w:trPr>
        <w:tc>
          <w:tcPr>
            <w:tcW w:w="8379" w:type="dxa"/>
            <w:gridSpan w:val="4"/>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center"/>
            <w:hideMark/>
          </w:tcPr>
          <w:p w:rsidR="00384006" w:rsidRPr="00384006" w:rsidRDefault="00384006" w:rsidP="003B2638">
            <w:pPr>
              <w:jc w:val="both"/>
              <w:rPr>
                <w:rFonts w:ascii="Calibri" w:hAnsi="Calibri"/>
                <w:b/>
                <w:bCs/>
                <w:color w:val="FFFFFF" w:themeColor="background1"/>
                <w:sz w:val="19"/>
                <w:szCs w:val="19"/>
              </w:rPr>
            </w:pPr>
            <w:r w:rsidRPr="00384006">
              <w:rPr>
                <w:rFonts w:ascii="Calibri" w:hAnsi="Calibri"/>
                <w:b/>
                <w:bCs/>
                <w:color w:val="FFFFFF" w:themeColor="background1"/>
                <w:sz w:val="19"/>
                <w:szCs w:val="19"/>
              </w:rPr>
              <w:t>Retirement Funds’ Levies</w:t>
            </w:r>
          </w:p>
        </w:tc>
      </w:tr>
      <w:tr w:rsidR="00384006" w:rsidRPr="00315F1A" w:rsidTr="00384006">
        <w:trPr>
          <w:trHeight w:val="499"/>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4006" w:rsidRPr="00C64225" w:rsidRDefault="00384006" w:rsidP="003B2638">
            <w:pPr>
              <w:jc w:val="both"/>
              <w:rPr>
                <w:rFonts w:ascii="Calibri" w:hAnsi="Calibri"/>
                <w:color w:val="000000"/>
                <w:sz w:val="19"/>
                <w:szCs w:val="19"/>
              </w:rPr>
            </w:pPr>
            <w:r w:rsidRPr="00C64225">
              <w:rPr>
                <w:rFonts w:ascii="Calibri" w:hAnsi="Calibri"/>
                <w:color w:val="000000"/>
                <w:sz w:val="19"/>
                <w:szCs w:val="19"/>
              </w:rPr>
              <w:t>Basic fund levy (excluding retirement annuity funds)</w:t>
            </w:r>
          </w:p>
        </w:tc>
        <w:tc>
          <w:tcPr>
            <w:tcW w:w="1134"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0.00%</w:t>
            </w:r>
          </w:p>
        </w:tc>
        <w:tc>
          <w:tcPr>
            <w:tcW w:w="2268" w:type="dxa"/>
            <w:tcBorders>
              <w:top w:val="nil"/>
              <w:left w:val="nil"/>
              <w:bottom w:val="single" w:sz="8" w:space="0" w:color="auto"/>
              <w:right w:val="single" w:sz="8" w:space="0" w:color="auto"/>
            </w:tcBorders>
            <w:shd w:val="clear" w:color="auto" w:fill="EEECE1" w:themeFill="background2"/>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R1 138.00</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R1 138.00</w:t>
            </w:r>
          </w:p>
        </w:tc>
      </w:tr>
      <w:tr w:rsidR="00384006" w:rsidRPr="00315F1A" w:rsidTr="00384006">
        <w:trPr>
          <w:trHeight w:val="3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4006" w:rsidRPr="00C64225" w:rsidRDefault="00384006" w:rsidP="003B2638">
            <w:pPr>
              <w:jc w:val="both"/>
              <w:rPr>
                <w:rFonts w:ascii="Calibri" w:hAnsi="Calibri"/>
                <w:color w:val="000000"/>
                <w:sz w:val="19"/>
                <w:szCs w:val="19"/>
              </w:rPr>
            </w:pPr>
            <w:r w:rsidRPr="00C64225">
              <w:rPr>
                <w:rFonts w:ascii="Calibri" w:hAnsi="Calibri"/>
                <w:color w:val="000000"/>
                <w:sz w:val="19"/>
                <w:szCs w:val="19"/>
              </w:rPr>
              <w:t xml:space="preserve">Member levy </w:t>
            </w:r>
          </w:p>
        </w:tc>
        <w:tc>
          <w:tcPr>
            <w:tcW w:w="1134"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1.93%</w:t>
            </w:r>
          </w:p>
        </w:tc>
        <w:tc>
          <w:tcPr>
            <w:tcW w:w="2268" w:type="dxa"/>
            <w:tcBorders>
              <w:top w:val="nil"/>
              <w:left w:val="nil"/>
              <w:bottom w:val="single" w:sz="8" w:space="0" w:color="auto"/>
              <w:right w:val="single" w:sz="8" w:space="0" w:color="auto"/>
            </w:tcBorders>
            <w:shd w:val="clear" w:color="auto" w:fill="EEECE1" w:themeFill="background2"/>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R13.46</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R13.20</w:t>
            </w:r>
          </w:p>
        </w:tc>
      </w:tr>
      <w:tr w:rsidR="00384006" w:rsidRPr="00315F1A" w:rsidTr="00384006">
        <w:trPr>
          <w:trHeight w:val="3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4006" w:rsidRPr="00C64225" w:rsidRDefault="00384006" w:rsidP="003B2638">
            <w:pPr>
              <w:jc w:val="both"/>
              <w:rPr>
                <w:rFonts w:ascii="Calibri" w:hAnsi="Calibri"/>
                <w:color w:val="000000"/>
                <w:sz w:val="19"/>
                <w:szCs w:val="19"/>
              </w:rPr>
            </w:pPr>
            <w:r w:rsidRPr="00C64225">
              <w:rPr>
                <w:rFonts w:ascii="Calibri" w:hAnsi="Calibri"/>
                <w:color w:val="000000"/>
                <w:sz w:val="19"/>
                <w:szCs w:val="19"/>
              </w:rPr>
              <w:t xml:space="preserve">Maximum levy </w:t>
            </w:r>
          </w:p>
        </w:tc>
        <w:tc>
          <w:tcPr>
            <w:tcW w:w="1134"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1.96%</w:t>
            </w:r>
          </w:p>
        </w:tc>
        <w:tc>
          <w:tcPr>
            <w:tcW w:w="2268" w:type="dxa"/>
            <w:tcBorders>
              <w:top w:val="nil"/>
              <w:left w:val="nil"/>
              <w:bottom w:val="single" w:sz="8" w:space="0" w:color="auto"/>
              <w:right w:val="single" w:sz="8" w:space="0" w:color="auto"/>
            </w:tcBorders>
            <w:shd w:val="clear" w:color="auto" w:fill="EEECE1" w:themeFill="background2"/>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R2 607 564.00</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R2 556 435.00</w:t>
            </w:r>
          </w:p>
        </w:tc>
      </w:tr>
      <w:tr w:rsidR="00384006" w:rsidRPr="00384006" w:rsidTr="00384006">
        <w:trPr>
          <w:trHeight w:val="459"/>
        </w:trPr>
        <w:tc>
          <w:tcPr>
            <w:tcW w:w="2567"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384006" w:rsidRPr="00384006" w:rsidRDefault="00384006" w:rsidP="003B2638">
            <w:pPr>
              <w:jc w:val="both"/>
              <w:rPr>
                <w:rFonts w:ascii="Calibri" w:hAnsi="Calibri"/>
                <w:b/>
                <w:bCs/>
                <w:color w:val="FFFFFF" w:themeColor="background1"/>
                <w:sz w:val="19"/>
                <w:szCs w:val="19"/>
              </w:rPr>
            </w:pPr>
            <w:r w:rsidRPr="00384006">
              <w:rPr>
                <w:rFonts w:ascii="Calibri" w:hAnsi="Calibri"/>
                <w:b/>
                <w:bCs/>
                <w:color w:val="FFFFFF" w:themeColor="background1"/>
                <w:sz w:val="19"/>
                <w:szCs w:val="19"/>
              </w:rPr>
              <w:t>Pension Fund Adjudicator Levy, per member</w:t>
            </w:r>
          </w:p>
        </w:tc>
        <w:tc>
          <w:tcPr>
            <w:tcW w:w="1134" w:type="dxa"/>
            <w:tcBorders>
              <w:top w:val="nil"/>
              <w:left w:val="nil"/>
              <w:bottom w:val="single" w:sz="8" w:space="0" w:color="auto"/>
              <w:right w:val="single" w:sz="8" w:space="0" w:color="auto"/>
            </w:tcBorders>
            <w:shd w:val="clear" w:color="auto" w:fill="808080" w:themeFill="background1" w:themeFillShade="80"/>
            <w:vAlign w:val="center"/>
            <w:hideMark/>
          </w:tcPr>
          <w:p w:rsidR="00384006" w:rsidRPr="00384006" w:rsidRDefault="00384006" w:rsidP="003B2638">
            <w:pPr>
              <w:jc w:val="center"/>
              <w:rPr>
                <w:rFonts w:ascii="Calibri" w:hAnsi="Calibri"/>
                <w:color w:val="FFFFFF" w:themeColor="background1"/>
                <w:sz w:val="19"/>
                <w:szCs w:val="19"/>
              </w:rPr>
            </w:pPr>
            <w:r w:rsidRPr="00384006">
              <w:rPr>
                <w:rFonts w:ascii="Calibri" w:hAnsi="Calibri"/>
                <w:color w:val="FFFFFF" w:themeColor="background1"/>
                <w:sz w:val="19"/>
                <w:szCs w:val="19"/>
              </w:rPr>
              <w:t>11.07%</w:t>
            </w:r>
          </w:p>
        </w:tc>
        <w:tc>
          <w:tcPr>
            <w:tcW w:w="2268" w:type="dxa"/>
            <w:tcBorders>
              <w:top w:val="nil"/>
              <w:left w:val="nil"/>
              <w:bottom w:val="single" w:sz="8" w:space="0" w:color="auto"/>
              <w:right w:val="single" w:sz="8" w:space="0" w:color="auto"/>
            </w:tcBorders>
            <w:shd w:val="clear" w:color="auto" w:fill="808080" w:themeFill="background1" w:themeFillShade="80"/>
            <w:vAlign w:val="center"/>
            <w:hideMark/>
          </w:tcPr>
          <w:p w:rsidR="00384006" w:rsidRPr="00384006" w:rsidRDefault="00384006" w:rsidP="003B2638">
            <w:pPr>
              <w:jc w:val="center"/>
              <w:rPr>
                <w:rFonts w:ascii="Calibri" w:hAnsi="Calibri"/>
                <w:color w:val="FFFFFF" w:themeColor="background1"/>
                <w:sz w:val="19"/>
                <w:szCs w:val="19"/>
              </w:rPr>
            </w:pPr>
            <w:r w:rsidRPr="00384006">
              <w:rPr>
                <w:rFonts w:ascii="Calibri" w:hAnsi="Calibri"/>
                <w:color w:val="FFFFFF" w:themeColor="background1"/>
                <w:sz w:val="19"/>
                <w:szCs w:val="19"/>
              </w:rPr>
              <w:t>R5.51</w:t>
            </w:r>
          </w:p>
        </w:tc>
        <w:tc>
          <w:tcPr>
            <w:tcW w:w="2410" w:type="dxa"/>
            <w:tcBorders>
              <w:top w:val="nil"/>
              <w:left w:val="nil"/>
              <w:bottom w:val="single" w:sz="8" w:space="0" w:color="auto"/>
              <w:right w:val="single" w:sz="8" w:space="0" w:color="auto"/>
            </w:tcBorders>
            <w:shd w:val="clear" w:color="auto" w:fill="808080" w:themeFill="background1" w:themeFillShade="80"/>
            <w:vAlign w:val="center"/>
            <w:hideMark/>
          </w:tcPr>
          <w:p w:rsidR="00384006" w:rsidRPr="00384006" w:rsidRDefault="00384006" w:rsidP="003B2638">
            <w:pPr>
              <w:jc w:val="center"/>
              <w:rPr>
                <w:rFonts w:ascii="Calibri" w:hAnsi="Calibri"/>
                <w:color w:val="FFFFFF" w:themeColor="background1"/>
                <w:sz w:val="19"/>
                <w:szCs w:val="19"/>
              </w:rPr>
            </w:pPr>
            <w:r w:rsidRPr="00384006">
              <w:rPr>
                <w:rFonts w:ascii="Calibri" w:hAnsi="Calibri"/>
                <w:color w:val="FFFFFF" w:themeColor="background1"/>
                <w:sz w:val="19"/>
                <w:szCs w:val="19"/>
              </w:rPr>
              <w:t>R4.90</w:t>
            </w:r>
          </w:p>
        </w:tc>
      </w:tr>
      <w:tr w:rsidR="00384006" w:rsidRPr="00384006" w:rsidTr="00384006">
        <w:trPr>
          <w:trHeight w:val="300"/>
        </w:trPr>
        <w:tc>
          <w:tcPr>
            <w:tcW w:w="8379" w:type="dxa"/>
            <w:gridSpan w:val="4"/>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center"/>
            <w:hideMark/>
          </w:tcPr>
          <w:p w:rsidR="00384006" w:rsidRPr="00384006" w:rsidRDefault="00384006" w:rsidP="003B2638">
            <w:pPr>
              <w:jc w:val="both"/>
              <w:rPr>
                <w:rFonts w:ascii="Calibri" w:hAnsi="Calibri"/>
                <w:b/>
                <w:bCs/>
                <w:color w:val="FFFFFF" w:themeColor="background1"/>
                <w:sz w:val="19"/>
                <w:szCs w:val="19"/>
              </w:rPr>
            </w:pPr>
            <w:r w:rsidRPr="00384006">
              <w:rPr>
                <w:rFonts w:ascii="Calibri" w:hAnsi="Calibri"/>
                <w:b/>
                <w:bCs/>
                <w:color w:val="FFFFFF" w:themeColor="background1"/>
                <w:sz w:val="19"/>
                <w:szCs w:val="19"/>
              </w:rPr>
              <w:t>Administrators’ Levies</w:t>
            </w:r>
          </w:p>
        </w:tc>
      </w:tr>
      <w:tr w:rsidR="00384006" w:rsidRPr="00315F1A" w:rsidTr="00384006">
        <w:trPr>
          <w:trHeight w:val="3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4006" w:rsidRPr="00C64225" w:rsidRDefault="00384006" w:rsidP="003B2638">
            <w:pPr>
              <w:jc w:val="both"/>
              <w:rPr>
                <w:rFonts w:ascii="Calibri" w:hAnsi="Calibri"/>
                <w:color w:val="000000"/>
                <w:sz w:val="19"/>
                <w:szCs w:val="19"/>
              </w:rPr>
            </w:pPr>
            <w:r w:rsidRPr="00C64225">
              <w:rPr>
                <w:rFonts w:ascii="Calibri" w:hAnsi="Calibri"/>
                <w:color w:val="000000"/>
                <w:sz w:val="19"/>
                <w:szCs w:val="19"/>
              </w:rPr>
              <w:t xml:space="preserve">Basic levy </w:t>
            </w:r>
          </w:p>
        </w:tc>
        <w:tc>
          <w:tcPr>
            <w:tcW w:w="1134"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1.96%</w:t>
            </w:r>
          </w:p>
        </w:tc>
        <w:tc>
          <w:tcPr>
            <w:tcW w:w="2268" w:type="dxa"/>
            <w:tcBorders>
              <w:top w:val="nil"/>
              <w:left w:val="nil"/>
              <w:bottom w:val="single" w:sz="8" w:space="0" w:color="auto"/>
              <w:right w:val="single" w:sz="8" w:space="0" w:color="auto"/>
            </w:tcBorders>
            <w:shd w:val="clear" w:color="auto" w:fill="EEECE1" w:themeFill="background2"/>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R7 264.44</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R7 122.00</w:t>
            </w:r>
          </w:p>
        </w:tc>
      </w:tr>
      <w:tr w:rsidR="00384006" w:rsidRPr="00315F1A" w:rsidTr="00384006">
        <w:trPr>
          <w:trHeight w:val="508"/>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4006" w:rsidRPr="00C64225" w:rsidRDefault="00384006" w:rsidP="003B2638">
            <w:pPr>
              <w:jc w:val="both"/>
              <w:rPr>
                <w:rFonts w:ascii="Calibri" w:hAnsi="Calibri"/>
                <w:color w:val="000000"/>
                <w:sz w:val="19"/>
                <w:szCs w:val="19"/>
              </w:rPr>
            </w:pPr>
            <w:r w:rsidRPr="00C64225">
              <w:rPr>
                <w:rFonts w:ascii="Calibri" w:hAnsi="Calibri"/>
                <w:color w:val="000000"/>
                <w:sz w:val="19"/>
                <w:szCs w:val="19"/>
              </w:rPr>
              <w:t xml:space="preserve">Levy per fund administered by administrator </w:t>
            </w:r>
          </w:p>
        </w:tc>
        <w:tc>
          <w:tcPr>
            <w:tcW w:w="1134"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1.96%</w:t>
            </w:r>
          </w:p>
        </w:tc>
        <w:tc>
          <w:tcPr>
            <w:tcW w:w="2268" w:type="dxa"/>
            <w:tcBorders>
              <w:top w:val="nil"/>
              <w:left w:val="nil"/>
              <w:bottom w:val="single" w:sz="8" w:space="0" w:color="auto"/>
              <w:right w:val="single" w:sz="8" w:space="0" w:color="auto"/>
            </w:tcBorders>
            <w:shd w:val="clear" w:color="auto" w:fill="EEECE1" w:themeFill="background2"/>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R566.31</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R555.21</w:t>
            </w:r>
          </w:p>
        </w:tc>
      </w:tr>
      <w:tr w:rsidR="00384006" w:rsidRPr="00315F1A" w:rsidTr="00384006">
        <w:trPr>
          <w:trHeight w:val="544"/>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4006" w:rsidRPr="00C64225" w:rsidRDefault="00384006" w:rsidP="003B2638">
            <w:pPr>
              <w:jc w:val="both"/>
              <w:rPr>
                <w:rFonts w:ascii="Calibri" w:hAnsi="Calibri"/>
                <w:color w:val="000000"/>
                <w:sz w:val="19"/>
                <w:szCs w:val="19"/>
              </w:rPr>
            </w:pPr>
            <w:r w:rsidRPr="00C64225">
              <w:rPr>
                <w:rFonts w:ascii="Calibri" w:hAnsi="Calibri"/>
                <w:color w:val="000000"/>
                <w:sz w:val="19"/>
                <w:szCs w:val="19"/>
              </w:rPr>
              <w:t xml:space="preserve">Levy per member under the administrator </w:t>
            </w:r>
          </w:p>
        </w:tc>
        <w:tc>
          <w:tcPr>
            <w:tcW w:w="1134" w:type="dxa"/>
            <w:tcBorders>
              <w:top w:val="nil"/>
              <w:left w:val="nil"/>
              <w:bottom w:val="single" w:sz="8" w:space="0" w:color="auto"/>
              <w:right w:val="single" w:sz="8" w:space="0" w:color="auto"/>
            </w:tcBorders>
            <w:shd w:val="clear" w:color="auto" w:fill="auto"/>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1.45%</w:t>
            </w:r>
          </w:p>
        </w:tc>
        <w:tc>
          <w:tcPr>
            <w:tcW w:w="2268" w:type="dxa"/>
            <w:tcBorders>
              <w:top w:val="nil"/>
              <w:left w:val="nil"/>
              <w:bottom w:val="single" w:sz="8" w:space="0" w:color="auto"/>
              <w:right w:val="single" w:sz="8" w:space="0" w:color="auto"/>
            </w:tcBorders>
            <w:shd w:val="clear" w:color="auto" w:fill="EEECE1" w:themeFill="background2"/>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 0.69</w:t>
            </w:r>
          </w:p>
        </w:tc>
        <w:tc>
          <w:tcPr>
            <w:tcW w:w="2410" w:type="dxa"/>
            <w:tcBorders>
              <w:top w:val="nil"/>
              <w:left w:val="nil"/>
              <w:bottom w:val="single" w:sz="8" w:space="0" w:color="auto"/>
              <w:right w:val="single" w:sz="8" w:space="0" w:color="auto"/>
            </w:tcBorders>
            <w:shd w:val="clear" w:color="auto" w:fill="D9D9D9" w:themeFill="background1" w:themeFillShade="D9"/>
            <w:vAlign w:val="center"/>
            <w:hideMark/>
          </w:tcPr>
          <w:p w:rsidR="00384006" w:rsidRPr="00C64225" w:rsidRDefault="00384006" w:rsidP="003B2638">
            <w:pPr>
              <w:jc w:val="center"/>
              <w:rPr>
                <w:rFonts w:ascii="Calibri" w:hAnsi="Calibri"/>
                <w:color w:val="000000"/>
                <w:sz w:val="19"/>
                <w:szCs w:val="19"/>
              </w:rPr>
            </w:pPr>
            <w:r w:rsidRPr="00C64225">
              <w:rPr>
                <w:rFonts w:ascii="Calibri" w:hAnsi="Calibri"/>
                <w:color w:val="000000"/>
                <w:sz w:val="19"/>
                <w:szCs w:val="19"/>
              </w:rPr>
              <w:t>R 0.68</w:t>
            </w:r>
          </w:p>
        </w:tc>
      </w:tr>
    </w:tbl>
    <w:p w:rsidR="00CE3D14" w:rsidRPr="006A3E0A" w:rsidRDefault="00CE3D14" w:rsidP="00CE3D14">
      <w:pPr>
        <w:pStyle w:val="NoSpacing"/>
        <w:jc w:val="both"/>
        <w:rPr>
          <w:rFonts w:asciiTheme="minorHAnsi" w:hAnsiTheme="minorHAnsi" w:cs="Arial"/>
          <w:bCs/>
          <w:iCs/>
          <w:sz w:val="16"/>
          <w:szCs w:val="21"/>
          <w:lang w:val="en-ZA"/>
        </w:rPr>
      </w:pPr>
      <w:r w:rsidRPr="00D01EE1">
        <w:rPr>
          <w:rFonts w:asciiTheme="minorHAnsi" w:hAnsiTheme="minorHAnsi" w:cs="Arial"/>
          <w:b/>
          <w:noProof/>
          <w:color w:val="FFFFFF" w:themeColor="background1"/>
          <w:sz w:val="28"/>
          <w:szCs w:val="28"/>
          <w:lang w:val="en-ZA" w:eastAsia="en-ZA"/>
        </w:rPr>
        <w:drawing>
          <wp:anchor distT="0" distB="0" distL="114300" distR="114300" simplePos="0" relativeHeight="251687936" behindDoc="1" locked="0" layoutInCell="1" allowOverlap="1" wp14:anchorId="210CC475" wp14:editId="01D974EE">
            <wp:simplePos x="0" y="0"/>
            <wp:positionH relativeFrom="margin">
              <wp:posOffset>-639445</wp:posOffset>
            </wp:positionH>
            <wp:positionV relativeFrom="paragraph">
              <wp:posOffset>39370</wp:posOffset>
            </wp:positionV>
            <wp:extent cx="7575550" cy="558800"/>
            <wp:effectExtent l="0" t="0" r="0" b="0"/>
            <wp:wrapNone/>
            <wp:docPr id="1" name="Picture 11" descr="I:\NMG\Prop\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G\Prop\br2.jpg"/>
                    <pic:cNvPicPr>
                      <a:picLocks noChangeAspect="1" noChangeArrowheads="1"/>
                    </pic:cNvPicPr>
                  </pic:nvPicPr>
                  <pic:blipFill>
                    <a:blip r:embed="rId8" cstate="print"/>
                    <a:srcRect/>
                    <a:stretch>
                      <a:fillRect/>
                    </a:stretch>
                  </pic:blipFill>
                  <pic:spPr bwMode="auto">
                    <a:xfrm>
                      <a:off x="0" y="0"/>
                      <a:ext cx="7575550" cy="558800"/>
                    </a:xfrm>
                    <a:prstGeom prst="rect">
                      <a:avLst/>
                    </a:prstGeom>
                    <a:noFill/>
                    <a:ln w="9525">
                      <a:noFill/>
                      <a:miter lim="800000"/>
                      <a:headEnd/>
                      <a:tailEnd/>
                    </a:ln>
                  </pic:spPr>
                </pic:pic>
              </a:graphicData>
            </a:graphic>
            <wp14:sizeRelV relativeFrom="margin">
              <wp14:pctHeight>0</wp14:pctHeight>
            </wp14:sizeRelV>
          </wp:anchor>
        </w:drawing>
      </w:r>
    </w:p>
    <w:p w:rsidR="00450A00" w:rsidRPr="00450A00" w:rsidRDefault="00450A00" w:rsidP="00450A00">
      <w:pPr>
        <w:pStyle w:val="ListParagraph"/>
        <w:numPr>
          <w:ilvl w:val="0"/>
          <w:numId w:val="16"/>
        </w:numPr>
        <w:rPr>
          <w:rFonts w:ascii="Century Gothic" w:eastAsiaTheme="minorEastAsia" w:hAnsi="Century Gothic" w:cs="Arial"/>
          <w:b/>
          <w:bCs/>
          <w:iCs/>
          <w:color w:val="FFFFFF" w:themeColor="background1"/>
          <w:sz w:val="28"/>
          <w:szCs w:val="26"/>
          <w:lang w:val="en-ZA" w:eastAsia="en-ZA"/>
        </w:rPr>
      </w:pPr>
      <w:r w:rsidRPr="00450A00">
        <w:rPr>
          <w:rFonts w:ascii="Century Gothic" w:eastAsiaTheme="minorEastAsia" w:hAnsi="Century Gothic" w:cs="Arial"/>
          <w:b/>
          <w:bCs/>
          <w:iCs/>
          <w:color w:val="FFFFFF" w:themeColor="background1"/>
          <w:sz w:val="28"/>
          <w:szCs w:val="26"/>
          <w:lang w:val="en-ZA" w:eastAsia="en-ZA"/>
        </w:rPr>
        <w:t xml:space="preserve">FSB Notices </w:t>
      </w:r>
    </w:p>
    <w:p w:rsidR="00450A00" w:rsidRDefault="00A24C53" w:rsidP="00450A00">
      <w:pPr>
        <w:pStyle w:val="NoSpacing"/>
        <w:jc w:val="both"/>
        <w:rPr>
          <w:rFonts w:asciiTheme="minorHAnsi" w:hAnsiTheme="minorHAnsi" w:cs="Arial"/>
          <w:bCs/>
          <w:iCs/>
          <w:szCs w:val="21"/>
          <w:lang w:val="en-ZA"/>
        </w:rPr>
      </w:pPr>
      <w:r>
        <w:rPr>
          <w:rFonts w:asciiTheme="minorHAnsi" w:hAnsiTheme="minorHAnsi" w:cs="Arial"/>
          <w:bCs/>
          <w:iCs/>
          <w:noProof/>
          <w:szCs w:val="21"/>
          <w:lang w:val="en-ZA" w:eastAsia="en-ZA"/>
        </w:rPr>
        <mc:AlternateContent>
          <mc:Choice Requires="wps">
            <w:drawing>
              <wp:anchor distT="0" distB="0" distL="114300" distR="114300" simplePos="0" relativeHeight="251693056" behindDoc="0" locked="0" layoutInCell="1" allowOverlap="1">
                <wp:simplePos x="0" y="0"/>
                <wp:positionH relativeFrom="column">
                  <wp:posOffset>3735705</wp:posOffset>
                </wp:positionH>
                <wp:positionV relativeFrom="paragraph">
                  <wp:posOffset>11430</wp:posOffset>
                </wp:positionV>
                <wp:extent cx="1606550" cy="2357755"/>
                <wp:effectExtent l="0" t="0" r="3175"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357755"/>
                        </a:xfrm>
                        <a:prstGeom prst="rect">
                          <a:avLst/>
                        </a:prstGeom>
                        <a:solidFill>
                          <a:srgbClr val="F6F5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A00" w:rsidRPr="00C64225" w:rsidRDefault="00450A00" w:rsidP="006A3E0A">
                            <w:pPr>
                              <w:pStyle w:val="NoSpacing"/>
                              <w:spacing w:line="223" w:lineRule="auto"/>
                              <w:jc w:val="both"/>
                              <w:rPr>
                                <w:rFonts w:asciiTheme="minorHAnsi" w:hAnsiTheme="minorHAnsi" w:cs="Arial"/>
                                <w:b/>
                                <w:sz w:val="19"/>
                                <w:szCs w:val="19"/>
                              </w:rPr>
                            </w:pPr>
                            <w:r w:rsidRPr="00C64225">
                              <w:rPr>
                                <w:rFonts w:asciiTheme="minorHAnsi" w:hAnsiTheme="minorHAnsi" w:cs="Arial"/>
                                <w:b/>
                                <w:sz w:val="19"/>
                                <w:szCs w:val="19"/>
                              </w:rPr>
                              <w:t>FSB Notice 2 of 2017 - Interest rate for purposes of section 19(5)(b)(iii) has been changed</w:t>
                            </w:r>
                          </w:p>
                          <w:p w:rsidR="00450A00" w:rsidRPr="00C64225" w:rsidRDefault="00450A00" w:rsidP="006A3E0A">
                            <w:pPr>
                              <w:pStyle w:val="NoSpacing"/>
                              <w:spacing w:line="223" w:lineRule="auto"/>
                              <w:jc w:val="both"/>
                              <w:rPr>
                                <w:rFonts w:cs="Arial"/>
                                <w:sz w:val="19"/>
                                <w:szCs w:val="19"/>
                              </w:rPr>
                            </w:pPr>
                            <w:r w:rsidRPr="00C64225">
                              <w:rPr>
                                <w:rFonts w:asciiTheme="minorHAnsi" w:hAnsiTheme="minorHAnsi" w:cs="Arial"/>
                                <w:sz w:val="19"/>
                                <w:szCs w:val="19"/>
                              </w:rPr>
                              <w:t xml:space="preserve">The interest rate on housing loans </w:t>
                            </w:r>
                            <w:r>
                              <w:rPr>
                                <w:rFonts w:asciiTheme="minorHAnsi" w:hAnsiTheme="minorHAnsi" w:cs="Arial"/>
                                <w:sz w:val="19"/>
                                <w:szCs w:val="19"/>
                              </w:rPr>
                              <w:t>has been</w:t>
                            </w:r>
                            <w:r w:rsidRPr="00C64225">
                              <w:rPr>
                                <w:rFonts w:asciiTheme="minorHAnsi" w:hAnsiTheme="minorHAnsi" w:cs="Arial"/>
                                <w:sz w:val="19"/>
                                <w:szCs w:val="19"/>
                              </w:rPr>
                              <w:t xml:space="preserve"> changed. It was previously set at the repo rate</w:t>
                            </w:r>
                            <w:r>
                              <w:rPr>
                                <w:rFonts w:asciiTheme="minorHAnsi" w:hAnsiTheme="minorHAnsi" w:cs="Arial"/>
                                <w:sz w:val="19"/>
                                <w:szCs w:val="19"/>
                              </w:rPr>
                              <w:t xml:space="preserve"> (which was 5% at the time)</w:t>
                            </w:r>
                            <w:r w:rsidRPr="00C64225">
                              <w:rPr>
                                <w:rFonts w:asciiTheme="minorHAnsi" w:hAnsiTheme="minorHAnsi" w:cs="Arial"/>
                                <w:sz w:val="19"/>
                                <w:szCs w:val="19"/>
                              </w:rPr>
                              <w:t xml:space="preserve"> plus 5.5% per annum, from 14 February 2011 to the date of the change. With effect from 21 July 2017, the interest rate on housing loan</w:t>
                            </w:r>
                            <w:r>
                              <w:rPr>
                                <w:rFonts w:asciiTheme="minorHAnsi" w:hAnsiTheme="minorHAnsi" w:cs="Arial"/>
                                <w:sz w:val="19"/>
                                <w:szCs w:val="19"/>
                              </w:rPr>
                              <w:t>s</w:t>
                            </w:r>
                            <w:r w:rsidRPr="00C64225">
                              <w:rPr>
                                <w:rFonts w:asciiTheme="minorHAnsi" w:hAnsiTheme="minorHAnsi" w:cs="Arial"/>
                                <w:sz w:val="19"/>
                                <w:szCs w:val="19"/>
                              </w:rPr>
                              <w:t xml:space="preserve"> is the repo rate (currently 6.75%) plus 2% per annum.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94.15pt;margin-top:.9pt;width:126.5pt;height:18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" fillcolor="#f6f5ee" stroked="f">
                <v:textbox>
                  <w:txbxContent>
                    <w:p w:rsidR="00450A00" w:rsidRPr="00C64225" w:rsidRDefault="00450A00" w:rsidP="006A3E0A">
                      <w:pPr>
                        <w:pStyle w:val="NoSpacing"/>
                        <w:spacing w:line="223" w:lineRule="auto"/>
                        <w:jc w:val="both"/>
                        <w:rPr>
                          <w:rFonts w:asciiTheme="minorHAnsi" w:hAnsiTheme="minorHAnsi" w:cs="Arial"/>
                          <w:b/>
                          <w:sz w:val="19"/>
                          <w:szCs w:val="19"/>
                        </w:rPr>
                      </w:pPr>
                      <w:r w:rsidRPr="00C64225">
                        <w:rPr>
                          <w:rFonts w:asciiTheme="minorHAnsi" w:hAnsiTheme="minorHAnsi" w:cs="Arial"/>
                          <w:b/>
                          <w:sz w:val="19"/>
                          <w:szCs w:val="19"/>
                        </w:rPr>
                        <w:t>FSB Notice 2 of 2017 - Interest rate for purposes of section 19(5)(b)(iii) has been changed</w:t>
                      </w:r>
                    </w:p>
                    <w:p w:rsidR="00450A00" w:rsidRPr="00C64225" w:rsidRDefault="00450A00" w:rsidP="006A3E0A">
                      <w:pPr>
                        <w:pStyle w:val="NoSpacing"/>
                        <w:spacing w:line="223" w:lineRule="auto"/>
                        <w:jc w:val="both"/>
                        <w:rPr>
                          <w:rFonts w:cs="Arial"/>
                          <w:sz w:val="19"/>
                          <w:szCs w:val="19"/>
                        </w:rPr>
                      </w:pPr>
                      <w:r w:rsidRPr="00C64225">
                        <w:rPr>
                          <w:rFonts w:asciiTheme="minorHAnsi" w:hAnsiTheme="minorHAnsi" w:cs="Arial"/>
                          <w:sz w:val="19"/>
                          <w:szCs w:val="19"/>
                        </w:rPr>
                        <w:t xml:space="preserve">The interest rate on housing loans </w:t>
                      </w:r>
                      <w:r>
                        <w:rPr>
                          <w:rFonts w:asciiTheme="minorHAnsi" w:hAnsiTheme="minorHAnsi" w:cs="Arial"/>
                          <w:sz w:val="19"/>
                          <w:szCs w:val="19"/>
                        </w:rPr>
                        <w:t>has been</w:t>
                      </w:r>
                      <w:r w:rsidRPr="00C64225">
                        <w:rPr>
                          <w:rFonts w:asciiTheme="minorHAnsi" w:hAnsiTheme="minorHAnsi" w:cs="Arial"/>
                          <w:sz w:val="19"/>
                          <w:szCs w:val="19"/>
                        </w:rPr>
                        <w:t xml:space="preserve"> changed. It was previously set at the repo rate</w:t>
                      </w:r>
                      <w:r>
                        <w:rPr>
                          <w:rFonts w:asciiTheme="minorHAnsi" w:hAnsiTheme="minorHAnsi" w:cs="Arial"/>
                          <w:sz w:val="19"/>
                          <w:szCs w:val="19"/>
                        </w:rPr>
                        <w:t xml:space="preserve"> (which was 5% at the time)</w:t>
                      </w:r>
                      <w:r w:rsidRPr="00C64225">
                        <w:rPr>
                          <w:rFonts w:asciiTheme="minorHAnsi" w:hAnsiTheme="minorHAnsi" w:cs="Arial"/>
                          <w:sz w:val="19"/>
                          <w:szCs w:val="19"/>
                        </w:rPr>
                        <w:t xml:space="preserve"> plus 5.5% per annum, from 14 February 2011 to the date of the change. With effect from 21 July 2017, the interest rate on housing loan</w:t>
                      </w:r>
                      <w:r>
                        <w:rPr>
                          <w:rFonts w:asciiTheme="minorHAnsi" w:hAnsiTheme="minorHAnsi" w:cs="Arial"/>
                          <w:sz w:val="19"/>
                          <w:szCs w:val="19"/>
                        </w:rPr>
                        <w:t>s</w:t>
                      </w:r>
                      <w:r w:rsidRPr="00C64225">
                        <w:rPr>
                          <w:rFonts w:asciiTheme="minorHAnsi" w:hAnsiTheme="minorHAnsi" w:cs="Arial"/>
                          <w:sz w:val="19"/>
                          <w:szCs w:val="19"/>
                        </w:rPr>
                        <w:t xml:space="preserve"> is the repo rate (currently 6.75%) plus 2% per annum.</w:t>
                      </w:r>
                    </w:p>
                  </w:txbxContent>
                </v:textbox>
              </v:shape>
            </w:pict>
          </mc:Fallback>
        </mc:AlternateContent>
      </w:r>
      <w:r>
        <w:rPr>
          <w:rFonts w:asciiTheme="minorHAnsi" w:hAnsiTheme="minorHAnsi" w:cs="Arial"/>
          <w:bCs/>
          <w:iCs/>
          <w:noProof/>
          <w:szCs w:val="21"/>
          <w:lang w:val="en-ZA" w:eastAsia="en-Z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11430</wp:posOffset>
                </wp:positionV>
                <wp:extent cx="3735705" cy="2357755"/>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235775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A00" w:rsidRPr="00C64225" w:rsidRDefault="00450A00" w:rsidP="006A3E0A">
                            <w:pPr>
                              <w:pStyle w:val="NoSpacing"/>
                              <w:spacing w:line="218" w:lineRule="auto"/>
                              <w:jc w:val="both"/>
                              <w:rPr>
                                <w:rFonts w:asciiTheme="minorHAnsi" w:hAnsiTheme="minorHAnsi" w:cs="Arial"/>
                                <w:b/>
                                <w:sz w:val="19"/>
                                <w:szCs w:val="19"/>
                              </w:rPr>
                            </w:pPr>
                            <w:r w:rsidRPr="00C64225">
                              <w:rPr>
                                <w:rFonts w:asciiTheme="minorHAnsi" w:hAnsiTheme="minorHAnsi" w:cs="Arial"/>
                                <w:b/>
                                <w:sz w:val="19"/>
                                <w:szCs w:val="19"/>
                              </w:rPr>
                              <w:t>FSB Notice 1 of 2017: Regulation 28 Exemption in respect of debt instruments issued or guaranteed by a South African Bank</w:t>
                            </w:r>
                          </w:p>
                          <w:p w:rsidR="00450A00" w:rsidRPr="00C64225" w:rsidRDefault="00450A00" w:rsidP="006A3E0A">
                            <w:pPr>
                              <w:pStyle w:val="NoSpacing"/>
                              <w:spacing w:line="218" w:lineRule="auto"/>
                              <w:jc w:val="both"/>
                              <w:rPr>
                                <w:rFonts w:asciiTheme="minorHAnsi" w:hAnsiTheme="minorHAnsi" w:cs="Arial"/>
                                <w:sz w:val="19"/>
                                <w:szCs w:val="19"/>
                              </w:rPr>
                            </w:pPr>
                            <w:r w:rsidRPr="00C64225">
                              <w:rPr>
                                <w:rFonts w:asciiTheme="minorHAnsi" w:hAnsiTheme="minorHAnsi" w:cs="Arial"/>
                                <w:sz w:val="19"/>
                                <w:szCs w:val="19"/>
                              </w:rPr>
                              <w:t xml:space="preserve">Regulation 28 sets out </w:t>
                            </w:r>
                            <w:r>
                              <w:rPr>
                                <w:rFonts w:asciiTheme="minorHAnsi" w:hAnsiTheme="minorHAnsi" w:cs="Arial"/>
                                <w:sz w:val="19"/>
                                <w:szCs w:val="19"/>
                              </w:rPr>
                              <w:t xml:space="preserve">statutory </w:t>
                            </w:r>
                            <w:r w:rsidRPr="00C64225">
                              <w:rPr>
                                <w:rFonts w:asciiTheme="minorHAnsi" w:hAnsiTheme="minorHAnsi" w:cs="Arial"/>
                                <w:sz w:val="19"/>
                                <w:szCs w:val="19"/>
                              </w:rPr>
                              <w:t>limits for investment</w:t>
                            </w:r>
                            <w:r>
                              <w:rPr>
                                <w:rFonts w:asciiTheme="minorHAnsi" w:hAnsiTheme="minorHAnsi" w:cs="Arial"/>
                                <w:sz w:val="19"/>
                                <w:szCs w:val="19"/>
                              </w:rPr>
                              <w:t xml:space="preserve">s, per </w:t>
                            </w:r>
                            <w:r w:rsidRPr="00C64225">
                              <w:rPr>
                                <w:rFonts w:asciiTheme="minorHAnsi" w:hAnsiTheme="minorHAnsi" w:cs="Arial"/>
                                <w:sz w:val="19"/>
                                <w:szCs w:val="19"/>
                              </w:rPr>
                              <w:t>specific asset classes. Items 2.1(c)(i), (ii) and (iii) of T</w:t>
                            </w:r>
                            <w:r w:rsidR="00A24C53">
                              <w:rPr>
                                <w:rFonts w:asciiTheme="minorHAnsi" w:hAnsiTheme="minorHAnsi" w:cs="Arial"/>
                                <w:sz w:val="19"/>
                                <w:szCs w:val="19"/>
                              </w:rPr>
                              <w:t>able 1 in Regulation 28 provide</w:t>
                            </w:r>
                            <w:r w:rsidRPr="00C64225">
                              <w:rPr>
                                <w:rFonts w:asciiTheme="minorHAnsi" w:hAnsiTheme="minorHAnsi" w:cs="Arial"/>
                                <w:sz w:val="19"/>
                                <w:szCs w:val="19"/>
                              </w:rPr>
                              <w:t xml:space="preserve"> that funds may invest in debt instruments issued or guaranteed by a listed South African bank against its balance sheet, subject to limits based on the market capitalisation of South African bank</w:t>
                            </w:r>
                            <w:r>
                              <w:rPr>
                                <w:rFonts w:asciiTheme="minorHAnsi" w:hAnsiTheme="minorHAnsi" w:cs="Arial"/>
                                <w:sz w:val="19"/>
                                <w:szCs w:val="19"/>
                              </w:rPr>
                              <w:t>s</w:t>
                            </w:r>
                            <w:r w:rsidRPr="00C64225">
                              <w:rPr>
                                <w:rFonts w:asciiTheme="minorHAnsi" w:hAnsiTheme="minorHAnsi" w:cs="Arial"/>
                                <w:sz w:val="19"/>
                                <w:szCs w:val="19"/>
                              </w:rPr>
                              <w:t xml:space="preserve"> (</w:t>
                            </w:r>
                            <w:r>
                              <w:rPr>
                                <w:rFonts w:asciiTheme="minorHAnsi" w:hAnsiTheme="minorHAnsi" w:cs="Arial"/>
                                <w:sz w:val="19"/>
                                <w:szCs w:val="19"/>
                              </w:rPr>
                              <w:t xml:space="preserve">the </w:t>
                            </w:r>
                            <w:r w:rsidRPr="00C64225">
                              <w:rPr>
                                <w:rFonts w:asciiTheme="minorHAnsi" w:hAnsiTheme="minorHAnsi" w:cs="Arial"/>
                                <w:sz w:val="19"/>
                                <w:szCs w:val="19"/>
                              </w:rPr>
                              <w:t>issuer</w:t>
                            </w:r>
                            <w:r>
                              <w:rPr>
                                <w:rFonts w:asciiTheme="minorHAnsi" w:hAnsiTheme="minorHAnsi" w:cs="Arial"/>
                                <w:sz w:val="19"/>
                                <w:szCs w:val="19"/>
                              </w:rPr>
                              <w:t>s</w:t>
                            </w:r>
                            <w:r w:rsidRPr="00C64225">
                              <w:rPr>
                                <w:rFonts w:asciiTheme="minorHAnsi" w:hAnsiTheme="minorHAnsi" w:cs="Arial"/>
                                <w:sz w:val="19"/>
                                <w:szCs w:val="19"/>
                              </w:rPr>
                              <w:t>). In practice</w:t>
                            </w:r>
                            <w:r>
                              <w:rPr>
                                <w:rFonts w:asciiTheme="minorHAnsi" w:hAnsiTheme="minorHAnsi" w:cs="Arial"/>
                                <w:sz w:val="19"/>
                                <w:szCs w:val="19"/>
                              </w:rPr>
                              <w:t>,</w:t>
                            </w:r>
                            <w:r w:rsidRPr="00C64225">
                              <w:rPr>
                                <w:rFonts w:asciiTheme="minorHAnsi" w:hAnsiTheme="minorHAnsi" w:cs="Arial"/>
                                <w:sz w:val="19"/>
                                <w:szCs w:val="19"/>
                              </w:rPr>
                              <w:t xml:space="preserve"> the controlling compan</w:t>
                            </w:r>
                            <w:r>
                              <w:rPr>
                                <w:rFonts w:asciiTheme="minorHAnsi" w:hAnsiTheme="minorHAnsi" w:cs="Arial"/>
                                <w:sz w:val="19"/>
                                <w:szCs w:val="19"/>
                              </w:rPr>
                              <w:t>ies of such banks are</w:t>
                            </w:r>
                            <w:r w:rsidRPr="00C64225">
                              <w:rPr>
                                <w:rFonts w:asciiTheme="minorHAnsi" w:hAnsiTheme="minorHAnsi" w:cs="Arial"/>
                                <w:sz w:val="19"/>
                                <w:szCs w:val="19"/>
                              </w:rPr>
                              <w:t xml:space="preserve"> often the listed entit</w:t>
                            </w:r>
                            <w:r>
                              <w:rPr>
                                <w:rFonts w:asciiTheme="minorHAnsi" w:hAnsiTheme="minorHAnsi" w:cs="Arial"/>
                                <w:sz w:val="19"/>
                                <w:szCs w:val="19"/>
                              </w:rPr>
                              <w:t xml:space="preserve">ies, rather than </w:t>
                            </w:r>
                            <w:r w:rsidRPr="00C64225">
                              <w:rPr>
                                <w:rFonts w:asciiTheme="minorHAnsi" w:hAnsiTheme="minorHAnsi" w:cs="Arial"/>
                                <w:sz w:val="19"/>
                                <w:szCs w:val="19"/>
                              </w:rPr>
                              <w:t>the South African bank</w:t>
                            </w:r>
                            <w:r>
                              <w:rPr>
                                <w:rFonts w:asciiTheme="minorHAnsi" w:hAnsiTheme="minorHAnsi" w:cs="Arial"/>
                                <w:sz w:val="19"/>
                                <w:szCs w:val="19"/>
                              </w:rPr>
                              <w:t>s, themselves</w:t>
                            </w:r>
                            <w:r w:rsidRPr="00C64225">
                              <w:rPr>
                                <w:rFonts w:asciiTheme="minorHAnsi" w:hAnsiTheme="minorHAnsi" w:cs="Arial"/>
                                <w:sz w:val="19"/>
                                <w:szCs w:val="19"/>
                              </w:rPr>
                              <w:t>.</w:t>
                            </w:r>
                          </w:p>
                          <w:p w:rsidR="00450A00" w:rsidRPr="00C64225" w:rsidRDefault="00450A00" w:rsidP="006A3E0A">
                            <w:pPr>
                              <w:pStyle w:val="NoSpacing"/>
                              <w:spacing w:line="218" w:lineRule="auto"/>
                              <w:jc w:val="both"/>
                              <w:rPr>
                                <w:rFonts w:asciiTheme="minorHAnsi" w:hAnsiTheme="minorHAnsi" w:cs="Arial"/>
                                <w:sz w:val="19"/>
                                <w:szCs w:val="19"/>
                              </w:rPr>
                            </w:pPr>
                          </w:p>
                          <w:p w:rsidR="00450A00" w:rsidRPr="00C64225" w:rsidRDefault="00450A00" w:rsidP="006A3E0A">
                            <w:pPr>
                              <w:pStyle w:val="NoSpacing"/>
                              <w:spacing w:line="218" w:lineRule="auto"/>
                              <w:jc w:val="both"/>
                              <w:rPr>
                                <w:rFonts w:cs="Arial"/>
                                <w:sz w:val="19"/>
                                <w:szCs w:val="19"/>
                              </w:rPr>
                            </w:pPr>
                            <w:r w:rsidRPr="00C64225">
                              <w:rPr>
                                <w:rFonts w:asciiTheme="minorHAnsi" w:hAnsiTheme="minorHAnsi" w:cs="Arial"/>
                                <w:sz w:val="19"/>
                                <w:szCs w:val="19"/>
                              </w:rPr>
                              <w:t>The Registrar has issued an exemption to funds</w:t>
                            </w:r>
                            <w:r>
                              <w:rPr>
                                <w:rFonts w:asciiTheme="minorHAnsi" w:hAnsiTheme="minorHAnsi" w:cs="Arial"/>
                                <w:sz w:val="19"/>
                                <w:szCs w:val="19"/>
                              </w:rPr>
                              <w:t xml:space="preserve">, </w:t>
                            </w:r>
                            <w:r w:rsidRPr="00C64225">
                              <w:rPr>
                                <w:rFonts w:asciiTheme="minorHAnsi" w:hAnsiTheme="minorHAnsi" w:cs="Arial"/>
                                <w:sz w:val="19"/>
                                <w:szCs w:val="19"/>
                              </w:rPr>
                              <w:t>where the South African bank is not listed on an exchange</w:t>
                            </w:r>
                            <w:r>
                              <w:rPr>
                                <w:rFonts w:asciiTheme="minorHAnsi" w:hAnsiTheme="minorHAnsi" w:cs="Arial"/>
                                <w:sz w:val="19"/>
                                <w:szCs w:val="19"/>
                              </w:rPr>
                              <w:t>,</w:t>
                            </w:r>
                            <w:r w:rsidRPr="00C64225">
                              <w:rPr>
                                <w:rFonts w:asciiTheme="minorHAnsi" w:hAnsiTheme="minorHAnsi" w:cs="Arial"/>
                                <w:sz w:val="19"/>
                                <w:szCs w:val="19"/>
                              </w:rPr>
                              <w:t xml:space="preserve"> from applying the limits set out in the aforementioned provisions to South African bank</w:t>
                            </w:r>
                            <w:r>
                              <w:rPr>
                                <w:rFonts w:asciiTheme="minorHAnsi" w:hAnsiTheme="minorHAnsi" w:cs="Arial"/>
                                <w:sz w:val="19"/>
                                <w:szCs w:val="19"/>
                              </w:rPr>
                              <w:t>s</w:t>
                            </w:r>
                            <w:r w:rsidRPr="00C64225">
                              <w:rPr>
                                <w:rFonts w:asciiTheme="minorHAnsi" w:hAnsiTheme="minorHAnsi" w:cs="Arial"/>
                                <w:sz w:val="19"/>
                                <w:szCs w:val="19"/>
                              </w:rPr>
                              <w:t xml:space="preserve">. The exemption is provided on condition that the bank’s controlling company is listed and the aforementioned </w:t>
                            </w:r>
                            <w:r>
                              <w:rPr>
                                <w:rFonts w:asciiTheme="minorHAnsi" w:hAnsiTheme="minorHAnsi" w:cs="Arial"/>
                                <w:sz w:val="19"/>
                                <w:szCs w:val="19"/>
                              </w:rPr>
                              <w:t xml:space="preserve">statutory limits </w:t>
                            </w:r>
                            <w:r w:rsidRPr="00C64225">
                              <w:rPr>
                                <w:rFonts w:asciiTheme="minorHAnsi" w:hAnsiTheme="minorHAnsi" w:cs="Arial"/>
                                <w:sz w:val="19"/>
                                <w:szCs w:val="19"/>
                              </w:rPr>
                              <w:t>are applied, taking into account the controlling company’</w:t>
                            </w:r>
                            <w:r>
                              <w:rPr>
                                <w:rFonts w:asciiTheme="minorHAnsi" w:hAnsiTheme="minorHAnsi" w:cs="Arial"/>
                                <w:sz w:val="19"/>
                                <w:szCs w:val="19"/>
                              </w:rPr>
                              <w:t>s</w:t>
                            </w:r>
                            <w:r w:rsidRPr="00C64225">
                              <w:rPr>
                                <w:rFonts w:asciiTheme="minorHAnsi" w:hAnsiTheme="minorHAnsi" w:cs="Arial"/>
                                <w:sz w:val="19"/>
                                <w:szCs w:val="19"/>
                              </w:rPr>
                              <w:t xml:space="preserve"> market capitalisation.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0;margin-top:.9pt;width:294.15pt;height:18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" fillcolor="#eeece1 [3214]" stroked="f">
                <v:textbox>
                  <w:txbxContent>
                    <w:p w:rsidR="00450A00" w:rsidRPr="00C64225" w:rsidRDefault="00450A00" w:rsidP="006A3E0A">
                      <w:pPr>
                        <w:pStyle w:val="NoSpacing"/>
                        <w:spacing w:line="218" w:lineRule="auto"/>
                        <w:jc w:val="both"/>
                        <w:rPr>
                          <w:rFonts w:asciiTheme="minorHAnsi" w:hAnsiTheme="minorHAnsi" w:cs="Arial"/>
                          <w:b/>
                          <w:sz w:val="19"/>
                          <w:szCs w:val="19"/>
                        </w:rPr>
                      </w:pPr>
                      <w:r w:rsidRPr="00C64225">
                        <w:rPr>
                          <w:rFonts w:asciiTheme="minorHAnsi" w:hAnsiTheme="minorHAnsi" w:cs="Arial"/>
                          <w:b/>
                          <w:sz w:val="19"/>
                          <w:szCs w:val="19"/>
                        </w:rPr>
                        <w:t>FSB Notice 1 of 2017: Regulation 28 Exemption in respect of debt instruments issued or guaranteed by a South African Bank</w:t>
                      </w:r>
                    </w:p>
                    <w:p w:rsidR="00450A00" w:rsidRPr="00C64225" w:rsidRDefault="00450A00" w:rsidP="006A3E0A">
                      <w:pPr>
                        <w:pStyle w:val="NoSpacing"/>
                        <w:spacing w:line="218" w:lineRule="auto"/>
                        <w:jc w:val="both"/>
                        <w:rPr>
                          <w:rFonts w:asciiTheme="minorHAnsi" w:hAnsiTheme="minorHAnsi" w:cs="Arial"/>
                          <w:sz w:val="19"/>
                          <w:szCs w:val="19"/>
                        </w:rPr>
                      </w:pPr>
                      <w:r w:rsidRPr="00C64225">
                        <w:rPr>
                          <w:rFonts w:asciiTheme="minorHAnsi" w:hAnsiTheme="minorHAnsi" w:cs="Arial"/>
                          <w:sz w:val="19"/>
                          <w:szCs w:val="19"/>
                        </w:rPr>
                        <w:t xml:space="preserve">Regulation 28 sets out </w:t>
                      </w:r>
                      <w:r>
                        <w:rPr>
                          <w:rFonts w:asciiTheme="minorHAnsi" w:hAnsiTheme="minorHAnsi" w:cs="Arial"/>
                          <w:sz w:val="19"/>
                          <w:szCs w:val="19"/>
                        </w:rPr>
                        <w:t xml:space="preserve">statutory </w:t>
                      </w:r>
                      <w:r w:rsidRPr="00C64225">
                        <w:rPr>
                          <w:rFonts w:asciiTheme="minorHAnsi" w:hAnsiTheme="minorHAnsi" w:cs="Arial"/>
                          <w:sz w:val="19"/>
                          <w:szCs w:val="19"/>
                        </w:rPr>
                        <w:t>limits for investment</w:t>
                      </w:r>
                      <w:r>
                        <w:rPr>
                          <w:rFonts w:asciiTheme="minorHAnsi" w:hAnsiTheme="minorHAnsi" w:cs="Arial"/>
                          <w:sz w:val="19"/>
                          <w:szCs w:val="19"/>
                        </w:rPr>
                        <w:t xml:space="preserve">s, per </w:t>
                      </w:r>
                      <w:r w:rsidRPr="00C64225">
                        <w:rPr>
                          <w:rFonts w:asciiTheme="minorHAnsi" w:hAnsiTheme="minorHAnsi" w:cs="Arial"/>
                          <w:sz w:val="19"/>
                          <w:szCs w:val="19"/>
                        </w:rPr>
                        <w:t>specific asset classes. Items 2.1(c)(i), (ii) and (iii) of T</w:t>
                      </w:r>
                      <w:r w:rsidR="00A24C53">
                        <w:rPr>
                          <w:rFonts w:asciiTheme="minorHAnsi" w:hAnsiTheme="minorHAnsi" w:cs="Arial"/>
                          <w:sz w:val="19"/>
                          <w:szCs w:val="19"/>
                        </w:rPr>
                        <w:t>able 1 in Regulation 28 provide</w:t>
                      </w:r>
                      <w:r w:rsidRPr="00C64225">
                        <w:rPr>
                          <w:rFonts w:asciiTheme="minorHAnsi" w:hAnsiTheme="minorHAnsi" w:cs="Arial"/>
                          <w:sz w:val="19"/>
                          <w:szCs w:val="19"/>
                        </w:rPr>
                        <w:t xml:space="preserve"> that funds may invest in debt instruments issued or guaranteed by a listed South African bank against its balance sheet, subject to limits based on the market capitalisation of South African bank</w:t>
                      </w:r>
                      <w:r>
                        <w:rPr>
                          <w:rFonts w:asciiTheme="minorHAnsi" w:hAnsiTheme="minorHAnsi" w:cs="Arial"/>
                          <w:sz w:val="19"/>
                          <w:szCs w:val="19"/>
                        </w:rPr>
                        <w:t>s</w:t>
                      </w:r>
                      <w:r w:rsidRPr="00C64225">
                        <w:rPr>
                          <w:rFonts w:asciiTheme="minorHAnsi" w:hAnsiTheme="minorHAnsi" w:cs="Arial"/>
                          <w:sz w:val="19"/>
                          <w:szCs w:val="19"/>
                        </w:rPr>
                        <w:t xml:space="preserve"> (</w:t>
                      </w:r>
                      <w:r>
                        <w:rPr>
                          <w:rFonts w:asciiTheme="minorHAnsi" w:hAnsiTheme="minorHAnsi" w:cs="Arial"/>
                          <w:sz w:val="19"/>
                          <w:szCs w:val="19"/>
                        </w:rPr>
                        <w:t xml:space="preserve">the </w:t>
                      </w:r>
                      <w:r w:rsidRPr="00C64225">
                        <w:rPr>
                          <w:rFonts w:asciiTheme="minorHAnsi" w:hAnsiTheme="minorHAnsi" w:cs="Arial"/>
                          <w:sz w:val="19"/>
                          <w:szCs w:val="19"/>
                        </w:rPr>
                        <w:t>issuer</w:t>
                      </w:r>
                      <w:r>
                        <w:rPr>
                          <w:rFonts w:asciiTheme="minorHAnsi" w:hAnsiTheme="minorHAnsi" w:cs="Arial"/>
                          <w:sz w:val="19"/>
                          <w:szCs w:val="19"/>
                        </w:rPr>
                        <w:t>s</w:t>
                      </w:r>
                      <w:r w:rsidRPr="00C64225">
                        <w:rPr>
                          <w:rFonts w:asciiTheme="minorHAnsi" w:hAnsiTheme="minorHAnsi" w:cs="Arial"/>
                          <w:sz w:val="19"/>
                          <w:szCs w:val="19"/>
                        </w:rPr>
                        <w:t>). In practice</w:t>
                      </w:r>
                      <w:r>
                        <w:rPr>
                          <w:rFonts w:asciiTheme="minorHAnsi" w:hAnsiTheme="minorHAnsi" w:cs="Arial"/>
                          <w:sz w:val="19"/>
                          <w:szCs w:val="19"/>
                        </w:rPr>
                        <w:t>,</w:t>
                      </w:r>
                      <w:r w:rsidRPr="00C64225">
                        <w:rPr>
                          <w:rFonts w:asciiTheme="minorHAnsi" w:hAnsiTheme="minorHAnsi" w:cs="Arial"/>
                          <w:sz w:val="19"/>
                          <w:szCs w:val="19"/>
                        </w:rPr>
                        <w:t xml:space="preserve"> the controlling compan</w:t>
                      </w:r>
                      <w:r>
                        <w:rPr>
                          <w:rFonts w:asciiTheme="minorHAnsi" w:hAnsiTheme="minorHAnsi" w:cs="Arial"/>
                          <w:sz w:val="19"/>
                          <w:szCs w:val="19"/>
                        </w:rPr>
                        <w:t>ies of such banks are</w:t>
                      </w:r>
                      <w:r w:rsidRPr="00C64225">
                        <w:rPr>
                          <w:rFonts w:asciiTheme="minorHAnsi" w:hAnsiTheme="minorHAnsi" w:cs="Arial"/>
                          <w:sz w:val="19"/>
                          <w:szCs w:val="19"/>
                        </w:rPr>
                        <w:t xml:space="preserve"> often the listed entit</w:t>
                      </w:r>
                      <w:r>
                        <w:rPr>
                          <w:rFonts w:asciiTheme="minorHAnsi" w:hAnsiTheme="minorHAnsi" w:cs="Arial"/>
                          <w:sz w:val="19"/>
                          <w:szCs w:val="19"/>
                        </w:rPr>
                        <w:t xml:space="preserve">ies, rather than </w:t>
                      </w:r>
                      <w:r w:rsidRPr="00C64225">
                        <w:rPr>
                          <w:rFonts w:asciiTheme="minorHAnsi" w:hAnsiTheme="minorHAnsi" w:cs="Arial"/>
                          <w:sz w:val="19"/>
                          <w:szCs w:val="19"/>
                        </w:rPr>
                        <w:t>the South African bank</w:t>
                      </w:r>
                      <w:r>
                        <w:rPr>
                          <w:rFonts w:asciiTheme="minorHAnsi" w:hAnsiTheme="minorHAnsi" w:cs="Arial"/>
                          <w:sz w:val="19"/>
                          <w:szCs w:val="19"/>
                        </w:rPr>
                        <w:t>s, themselves</w:t>
                      </w:r>
                      <w:r w:rsidRPr="00C64225">
                        <w:rPr>
                          <w:rFonts w:asciiTheme="minorHAnsi" w:hAnsiTheme="minorHAnsi" w:cs="Arial"/>
                          <w:sz w:val="19"/>
                          <w:szCs w:val="19"/>
                        </w:rPr>
                        <w:t>.</w:t>
                      </w:r>
                    </w:p>
                    <w:p w:rsidR="00450A00" w:rsidRPr="00C64225" w:rsidRDefault="00450A00" w:rsidP="006A3E0A">
                      <w:pPr>
                        <w:pStyle w:val="NoSpacing"/>
                        <w:spacing w:line="218" w:lineRule="auto"/>
                        <w:jc w:val="both"/>
                        <w:rPr>
                          <w:rFonts w:asciiTheme="minorHAnsi" w:hAnsiTheme="minorHAnsi" w:cs="Arial"/>
                          <w:sz w:val="19"/>
                          <w:szCs w:val="19"/>
                        </w:rPr>
                      </w:pPr>
                    </w:p>
                    <w:p w:rsidR="00450A00" w:rsidRPr="00C64225" w:rsidRDefault="00450A00" w:rsidP="006A3E0A">
                      <w:pPr>
                        <w:pStyle w:val="NoSpacing"/>
                        <w:spacing w:line="218" w:lineRule="auto"/>
                        <w:jc w:val="both"/>
                        <w:rPr>
                          <w:rFonts w:cs="Arial"/>
                          <w:sz w:val="19"/>
                          <w:szCs w:val="19"/>
                        </w:rPr>
                      </w:pPr>
                      <w:r w:rsidRPr="00C64225">
                        <w:rPr>
                          <w:rFonts w:asciiTheme="minorHAnsi" w:hAnsiTheme="minorHAnsi" w:cs="Arial"/>
                          <w:sz w:val="19"/>
                          <w:szCs w:val="19"/>
                        </w:rPr>
                        <w:t>The Registrar has issued an exemption to funds</w:t>
                      </w:r>
                      <w:r>
                        <w:rPr>
                          <w:rFonts w:asciiTheme="minorHAnsi" w:hAnsiTheme="minorHAnsi" w:cs="Arial"/>
                          <w:sz w:val="19"/>
                          <w:szCs w:val="19"/>
                        </w:rPr>
                        <w:t xml:space="preserve">, </w:t>
                      </w:r>
                      <w:r w:rsidRPr="00C64225">
                        <w:rPr>
                          <w:rFonts w:asciiTheme="minorHAnsi" w:hAnsiTheme="minorHAnsi" w:cs="Arial"/>
                          <w:sz w:val="19"/>
                          <w:szCs w:val="19"/>
                        </w:rPr>
                        <w:t>where the South African bank is not listed on an exchange</w:t>
                      </w:r>
                      <w:r>
                        <w:rPr>
                          <w:rFonts w:asciiTheme="minorHAnsi" w:hAnsiTheme="minorHAnsi" w:cs="Arial"/>
                          <w:sz w:val="19"/>
                          <w:szCs w:val="19"/>
                        </w:rPr>
                        <w:t>,</w:t>
                      </w:r>
                      <w:r w:rsidRPr="00C64225">
                        <w:rPr>
                          <w:rFonts w:asciiTheme="minorHAnsi" w:hAnsiTheme="minorHAnsi" w:cs="Arial"/>
                          <w:sz w:val="19"/>
                          <w:szCs w:val="19"/>
                        </w:rPr>
                        <w:t xml:space="preserve"> from applying the limits set out in the aforementioned provisions to South African bank</w:t>
                      </w:r>
                      <w:r>
                        <w:rPr>
                          <w:rFonts w:asciiTheme="minorHAnsi" w:hAnsiTheme="minorHAnsi" w:cs="Arial"/>
                          <w:sz w:val="19"/>
                          <w:szCs w:val="19"/>
                        </w:rPr>
                        <w:t>s</w:t>
                      </w:r>
                      <w:r w:rsidRPr="00C64225">
                        <w:rPr>
                          <w:rFonts w:asciiTheme="minorHAnsi" w:hAnsiTheme="minorHAnsi" w:cs="Arial"/>
                          <w:sz w:val="19"/>
                          <w:szCs w:val="19"/>
                        </w:rPr>
                        <w:t xml:space="preserve">. The exemption is provided on condition that the bank’s controlling company is listed and the aforementioned </w:t>
                      </w:r>
                      <w:r>
                        <w:rPr>
                          <w:rFonts w:asciiTheme="minorHAnsi" w:hAnsiTheme="minorHAnsi" w:cs="Arial"/>
                          <w:sz w:val="19"/>
                          <w:szCs w:val="19"/>
                        </w:rPr>
                        <w:t xml:space="preserve">statutory limits </w:t>
                      </w:r>
                      <w:r w:rsidRPr="00C64225">
                        <w:rPr>
                          <w:rFonts w:asciiTheme="minorHAnsi" w:hAnsiTheme="minorHAnsi" w:cs="Arial"/>
                          <w:sz w:val="19"/>
                          <w:szCs w:val="19"/>
                        </w:rPr>
                        <w:t>are applied, taking into account the controlling company’</w:t>
                      </w:r>
                      <w:r>
                        <w:rPr>
                          <w:rFonts w:asciiTheme="minorHAnsi" w:hAnsiTheme="minorHAnsi" w:cs="Arial"/>
                          <w:sz w:val="19"/>
                          <w:szCs w:val="19"/>
                        </w:rPr>
                        <w:t>s</w:t>
                      </w:r>
                      <w:r w:rsidRPr="00C64225">
                        <w:rPr>
                          <w:rFonts w:asciiTheme="minorHAnsi" w:hAnsiTheme="minorHAnsi" w:cs="Arial"/>
                          <w:sz w:val="19"/>
                          <w:szCs w:val="19"/>
                        </w:rPr>
                        <w:t xml:space="preserve"> market capitalisation.</w:t>
                      </w:r>
                    </w:p>
                  </w:txbxContent>
                </v:textbox>
              </v:shape>
            </w:pict>
          </mc:Fallback>
        </mc:AlternateContent>
      </w: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Default="00450A00" w:rsidP="00450A00">
      <w:pPr>
        <w:pStyle w:val="NoSpacing"/>
        <w:jc w:val="both"/>
        <w:rPr>
          <w:rFonts w:asciiTheme="minorHAnsi" w:hAnsiTheme="minorHAnsi" w:cs="Arial"/>
          <w:bCs/>
          <w:iCs/>
          <w:szCs w:val="21"/>
          <w:lang w:val="en-ZA"/>
        </w:rPr>
      </w:pPr>
    </w:p>
    <w:p w:rsidR="00450A00" w:rsidRPr="006A3E0A" w:rsidRDefault="006A3E0A" w:rsidP="00450A00">
      <w:pPr>
        <w:pStyle w:val="NoSpacing"/>
        <w:jc w:val="both"/>
        <w:rPr>
          <w:rFonts w:asciiTheme="minorHAnsi" w:hAnsiTheme="minorHAnsi" w:cs="Arial"/>
          <w:bCs/>
          <w:iCs/>
          <w:sz w:val="14"/>
          <w:szCs w:val="21"/>
          <w:lang w:val="en-ZA"/>
        </w:rPr>
      </w:pPr>
      <w:r w:rsidRPr="00D01EE1">
        <w:rPr>
          <w:rFonts w:asciiTheme="minorHAnsi" w:hAnsiTheme="minorHAnsi" w:cs="Arial"/>
          <w:b/>
          <w:noProof/>
          <w:color w:val="FFFFFF" w:themeColor="background1"/>
          <w:sz w:val="28"/>
          <w:szCs w:val="28"/>
          <w:lang w:val="en-ZA" w:eastAsia="en-ZA"/>
        </w:rPr>
        <w:drawing>
          <wp:anchor distT="0" distB="0" distL="114300" distR="114300" simplePos="0" relativeHeight="251695104" behindDoc="1" locked="0" layoutInCell="1" allowOverlap="1" wp14:anchorId="587DEFF5" wp14:editId="726B5D9F">
            <wp:simplePos x="0" y="0"/>
            <wp:positionH relativeFrom="margin">
              <wp:posOffset>-639445</wp:posOffset>
            </wp:positionH>
            <wp:positionV relativeFrom="paragraph">
              <wp:posOffset>17145</wp:posOffset>
            </wp:positionV>
            <wp:extent cx="7575550" cy="558800"/>
            <wp:effectExtent l="0" t="0" r="0" b="0"/>
            <wp:wrapNone/>
            <wp:docPr id="3" name="Picture 11" descr="I:\NMG\Prop\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MG\Prop\br2.jpg"/>
                    <pic:cNvPicPr>
                      <a:picLocks noChangeAspect="1" noChangeArrowheads="1"/>
                    </pic:cNvPicPr>
                  </pic:nvPicPr>
                  <pic:blipFill>
                    <a:blip r:embed="rId8" cstate="print"/>
                    <a:srcRect/>
                    <a:stretch>
                      <a:fillRect/>
                    </a:stretch>
                  </pic:blipFill>
                  <pic:spPr bwMode="auto">
                    <a:xfrm>
                      <a:off x="0" y="0"/>
                      <a:ext cx="7575550" cy="558800"/>
                    </a:xfrm>
                    <a:prstGeom prst="rect">
                      <a:avLst/>
                    </a:prstGeom>
                    <a:noFill/>
                    <a:ln w="9525">
                      <a:noFill/>
                      <a:miter lim="800000"/>
                      <a:headEnd/>
                      <a:tailEnd/>
                    </a:ln>
                  </pic:spPr>
                </pic:pic>
              </a:graphicData>
            </a:graphic>
            <wp14:sizeRelV relativeFrom="margin">
              <wp14:pctHeight>0</wp14:pctHeight>
            </wp14:sizeRelV>
          </wp:anchor>
        </w:drawing>
      </w:r>
    </w:p>
    <w:p w:rsidR="00450A00" w:rsidRPr="00450A00" w:rsidRDefault="00450A00" w:rsidP="00450A00">
      <w:pPr>
        <w:pStyle w:val="ListParagraph"/>
        <w:numPr>
          <w:ilvl w:val="0"/>
          <w:numId w:val="16"/>
        </w:numPr>
        <w:rPr>
          <w:rFonts w:ascii="Century Gothic" w:eastAsiaTheme="minorEastAsia" w:hAnsi="Century Gothic" w:cs="Arial"/>
          <w:b/>
          <w:bCs/>
          <w:iCs/>
          <w:color w:val="FFFFFF" w:themeColor="background1"/>
          <w:sz w:val="28"/>
          <w:szCs w:val="26"/>
          <w:lang w:val="en-ZA" w:eastAsia="en-ZA"/>
        </w:rPr>
      </w:pPr>
      <w:r w:rsidRPr="00450A00">
        <w:rPr>
          <w:rFonts w:ascii="Century Gothic" w:eastAsiaTheme="minorEastAsia" w:hAnsi="Century Gothic" w:cs="Arial"/>
          <w:b/>
          <w:bCs/>
          <w:iCs/>
          <w:color w:val="FFFFFF" w:themeColor="background1"/>
          <w:sz w:val="28"/>
          <w:szCs w:val="26"/>
          <w:lang w:val="en-ZA" w:eastAsia="en-ZA"/>
        </w:rPr>
        <w:t>FSB Information Circulars</w:t>
      </w:r>
    </w:p>
    <w:p w:rsidR="00450A00" w:rsidRPr="00863B67" w:rsidRDefault="00450A00" w:rsidP="00DE7618">
      <w:pPr>
        <w:pStyle w:val="NoSpacing"/>
        <w:numPr>
          <w:ilvl w:val="0"/>
          <w:numId w:val="19"/>
        </w:numPr>
        <w:spacing w:line="228" w:lineRule="auto"/>
        <w:jc w:val="both"/>
        <w:rPr>
          <w:rFonts w:asciiTheme="minorHAnsi" w:hAnsiTheme="minorHAnsi" w:cs="Arial"/>
          <w:b/>
          <w:sz w:val="24"/>
          <w:szCs w:val="26"/>
        </w:rPr>
      </w:pPr>
      <w:r w:rsidRPr="00863B67">
        <w:rPr>
          <w:rFonts w:asciiTheme="minorHAnsi" w:hAnsiTheme="minorHAnsi" w:cs="Arial"/>
          <w:b/>
          <w:sz w:val="24"/>
          <w:szCs w:val="26"/>
        </w:rPr>
        <w:t xml:space="preserve">Information Circular 2 of 2017: </w:t>
      </w:r>
      <w:r w:rsidRPr="00863B67">
        <w:rPr>
          <w:rFonts w:asciiTheme="minorHAnsi" w:hAnsiTheme="minorHAnsi" w:cs="Arial"/>
          <w:b/>
          <w:bCs/>
          <w:sz w:val="24"/>
          <w:szCs w:val="26"/>
          <w:lang w:val="en-ZA"/>
        </w:rPr>
        <w:t>Cancellation of registration of Funds in terms of section 27(1) of the Pension Funds Act (the “Act”) and the termination of participating employers in umbrella funds</w:t>
      </w:r>
    </w:p>
    <w:p w:rsidR="00450A00" w:rsidRPr="00450A00" w:rsidRDefault="00450A00" w:rsidP="00DE7618">
      <w:pPr>
        <w:spacing w:line="228" w:lineRule="auto"/>
        <w:rPr>
          <w:rFonts w:asciiTheme="minorHAnsi" w:hAnsiTheme="minorHAnsi" w:cs="Arial"/>
          <w:sz w:val="12"/>
          <w:szCs w:val="21"/>
        </w:rPr>
      </w:pPr>
    </w:p>
    <w:p w:rsidR="00450A00" w:rsidRPr="00315F1A" w:rsidRDefault="00450A00" w:rsidP="00DE7618">
      <w:pPr>
        <w:spacing w:line="228" w:lineRule="auto"/>
        <w:jc w:val="both"/>
        <w:rPr>
          <w:rFonts w:asciiTheme="minorHAnsi" w:hAnsiTheme="minorHAnsi" w:cs="Arial"/>
          <w:sz w:val="20"/>
          <w:szCs w:val="21"/>
        </w:rPr>
      </w:pPr>
      <w:r w:rsidRPr="00315F1A">
        <w:rPr>
          <w:rFonts w:asciiTheme="minorHAnsi" w:hAnsiTheme="minorHAnsi" w:cs="Arial"/>
          <w:sz w:val="20"/>
          <w:szCs w:val="21"/>
        </w:rPr>
        <w:t>The Registrar issued Information Circular PF 2 of 2017 on 6 July 2017. This circular provides clarity on the requirements for:</w:t>
      </w:r>
    </w:p>
    <w:p w:rsidR="00450A00" w:rsidRPr="00315F1A" w:rsidRDefault="00450A00" w:rsidP="00DE7618">
      <w:pPr>
        <w:pStyle w:val="NoSpacing"/>
        <w:numPr>
          <w:ilvl w:val="0"/>
          <w:numId w:val="18"/>
        </w:numPr>
        <w:spacing w:line="228" w:lineRule="auto"/>
        <w:jc w:val="both"/>
        <w:rPr>
          <w:sz w:val="20"/>
          <w:szCs w:val="21"/>
        </w:rPr>
      </w:pPr>
      <w:r w:rsidRPr="00315F1A">
        <w:rPr>
          <w:sz w:val="20"/>
          <w:szCs w:val="21"/>
        </w:rPr>
        <w:t xml:space="preserve">A stand alone fund’s </w:t>
      </w:r>
      <w:r>
        <w:rPr>
          <w:sz w:val="20"/>
          <w:szCs w:val="21"/>
        </w:rPr>
        <w:t>cancellation of registration</w:t>
      </w:r>
      <w:r w:rsidRPr="00315F1A">
        <w:rPr>
          <w:sz w:val="20"/>
          <w:szCs w:val="21"/>
        </w:rPr>
        <w:t xml:space="preserve"> in terms of section 27(1) of the Act, and</w:t>
      </w:r>
    </w:p>
    <w:p w:rsidR="00DE7618" w:rsidRDefault="00450A00" w:rsidP="006A3E0A">
      <w:pPr>
        <w:pStyle w:val="NoSpacing"/>
        <w:numPr>
          <w:ilvl w:val="0"/>
          <w:numId w:val="18"/>
        </w:numPr>
        <w:spacing w:line="228" w:lineRule="auto"/>
        <w:jc w:val="both"/>
        <w:rPr>
          <w:sz w:val="20"/>
          <w:szCs w:val="21"/>
        </w:rPr>
      </w:pPr>
      <w:r w:rsidRPr="00863B67">
        <w:rPr>
          <w:sz w:val="20"/>
          <w:szCs w:val="21"/>
        </w:rPr>
        <w:t>The termination of participation by an employer, from an umbrella fund.</w:t>
      </w:r>
      <w:r w:rsidR="00DE7618">
        <w:rPr>
          <w:sz w:val="20"/>
          <w:szCs w:val="21"/>
        </w:rPr>
        <w:br w:type="page"/>
      </w:r>
    </w:p>
    <w:p w:rsidR="00450A00" w:rsidRDefault="00A24C53" w:rsidP="00DE7618">
      <w:pPr>
        <w:pStyle w:val="NoSpacing"/>
        <w:spacing w:line="228" w:lineRule="auto"/>
        <w:jc w:val="both"/>
        <w:rPr>
          <w:rFonts w:asciiTheme="minorHAnsi" w:hAnsiTheme="minorHAnsi" w:cs="Arial"/>
          <w:bCs/>
          <w:iCs/>
          <w:szCs w:val="21"/>
          <w:lang w:val="en-ZA"/>
        </w:rPr>
      </w:pPr>
      <w:r>
        <w:rPr>
          <w:rFonts w:asciiTheme="minorHAnsi" w:hAnsiTheme="minorHAnsi" w:cs="Arial"/>
          <w:bCs/>
          <w:iCs/>
          <w:noProof/>
          <w:szCs w:val="21"/>
          <w:lang w:val="en-ZA" w:eastAsia="en-ZA"/>
        </w:rPr>
        <w:lastRenderedPageBreak/>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-151765</wp:posOffset>
                </wp:positionV>
                <wp:extent cx="2840355" cy="4222115"/>
                <wp:effectExtent l="0" t="635"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422211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DE7618">
                            <w:pPr>
                              <w:pStyle w:val="NoSpacing"/>
                              <w:numPr>
                                <w:ilvl w:val="0"/>
                                <w:numId w:val="21"/>
                              </w:numPr>
                              <w:spacing w:line="228" w:lineRule="auto"/>
                              <w:rPr>
                                <w:b/>
                                <w:sz w:val="19"/>
                                <w:szCs w:val="19"/>
                              </w:rPr>
                            </w:pPr>
                            <w:r w:rsidRPr="001C45C2">
                              <w:rPr>
                                <w:b/>
                                <w:sz w:val="19"/>
                                <w:szCs w:val="19"/>
                              </w:rPr>
                              <w:t>S</w:t>
                            </w:r>
                            <w:r>
                              <w:rPr>
                                <w:b/>
                                <w:sz w:val="19"/>
                                <w:szCs w:val="19"/>
                              </w:rPr>
                              <w:t>tand-alone fund: cancellation of registration</w:t>
                            </w:r>
                          </w:p>
                          <w:p w:rsidR="00DE7618" w:rsidRPr="001C45C2" w:rsidRDefault="00DE7618" w:rsidP="00DE7618">
                            <w:pPr>
                              <w:spacing w:line="228" w:lineRule="auto"/>
                              <w:jc w:val="both"/>
                              <w:rPr>
                                <w:rFonts w:asciiTheme="minorHAnsi" w:hAnsiTheme="minorHAnsi" w:cs="Arial"/>
                                <w:sz w:val="19"/>
                                <w:szCs w:val="19"/>
                              </w:rPr>
                            </w:pPr>
                            <w:r w:rsidRPr="001C45C2">
                              <w:rPr>
                                <w:rFonts w:asciiTheme="minorHAnsi" w:hAnsiTheme="minorHAnsi" w:cs="Arial"/>
                                <w:sz w:val="19"/>
                                <w:szCs w:val="19"/>
                              </w:rPr>
                              <w:t xml:space="preserve">When a stand-alone fund applies for </w:t>
                            </w:r>
                            <w:r>
                              <w:rPr>
                                <w:rFonts w:asciiTheme="minorHAnsi" w:hAnsiTheme="minorHAnsi" w:cs="Arial"/>
                                <w:sz w:val="19"/>
                                <w:szCs w:val="19"/>
                              </w:rPr>
                              <w:t>cancellation of registration</w:t>
                            </w:r>
                            <w:r w:rsidRPr="001C45C2">
                              <w:rPr>
                                <w:rFonts w:asciiTheme="minorHAnsi" w:hAnsiTheme="minorHAnsi" w:cs="Arial"/>
                                <w:sz w:val="19"/>
                                <w:szCs w:val="19"/>
                              </w:rPr>
                              <w:t xml:space="preserve">, it must provide sufficient information to </w:t>
                            </w:r>
                            <w:r w:rsidR="00A24C53">
                              <w:rPr>
                                <w:rFonts w:asciiTheme="minorHAnsi" w:hAnsiTheme="minorHAnsi" w:cs="Arial"/>
                                <w:sz w:val="19"/>
                                <w:szCs w:val="19"/>
                              </w:rPr>
                              <w:t xml:space="preserve">the </w:t>
                            </w:r>
                            <w:bookmarkStart w:id="0" w:name="_GoBack"/>
                            <w:bookmarkEnd w:id="0"/>
                            <w:r w:rsidRPr="001C45C2">
                              <w:rPr>
                                <w:rFonts w:asciiTheme="minorHAnsi" w:hAnsiTheme="minorHAnsi" w:cs="Arial"/>
                                <w:sz w:val="19"/>
                                <w:szCs w:val="19"/>
                              </w:rPr>
                              <w:t xml:space="preserve">Registrar to prove that the fund has ceased to exist, as per section 27(1)(a) of the Act. A fund ceases to exist and </w:t>
                            </w:r>
                            <w:r>
                              <w:rPr>
                                <w:rFonts w:asciiTheme="minorHAnsi" w:hAnsiTheme="minorHAnsi" w:cs="Arial"/>
                                <w:sz w:val="19"/>
                                <w:szCs w:val="19"/>
                              </w:rPr>
                              <w:t>its registration can be cancelled</w:t>
                            </w:r>
                            <w:r w:rsidRPr="001C45C2">
                              <w:rPr>
                                <w:rFonts w:asciiTheme="minorHAnsi" w:hAnsiTheme="minorHAnsi" w:cs="Arial"/>
                                <w:sz w:val="19"/>
                                <w:szCs w:val="19"/>
                              </w:rPr>
                              <w:t>:</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 xml:space="preserve">When all members, assets and liabilities are transferred out of the fund via a Section 14 application. </w:t>
                            </w:r>
                            <w:r>
                              <w:rPr>
                                <w:sz w:val="19"/>
                                <w:szCs w:val="19"/>
                              </w:rPr>
                              <w:t>The trustees / administrator</w:t>
                            </w:r>
                            <w:r w:rsidRPr="001C45C2">
                              <w:rPr>
                                <w:sz w:val="19"/>
                                <w:szCs w:val="19"/>
                              </w:rPr>
                              <w:t xml:space="preserve"> can thereafter apply for </w:t>
                            </w:r>
                            <w:r w:rsidRPr="001C45C2">
                              <w:rPr>
                                <w:rFonts w:asciiTheme="minorHAnsi" w:hAnsiTheme="minorHAnsi" w:cs="Arial"/>
                                <w:sz w:val="19"/>
                                <w:szCs w:val="19"/>
                              </w:rPr>
                              <w:t>cancellation of the fund’s registration</w:t>
                            </w:r>
                            <w:r w:rsidRPr="001C45C2">
                              <w:rPr>
                                <w:sz w:val="19"/>
                                <w:szCs w:val="19"/>
                              </w:rPr>
                              <w:t>; or</w:t>
                            </w:r>
                          </w:p>
                          <w:p w:rsidR="00DE7618" w:rsidRPr="001C45C2" w:rsidRDefault="00DE7618" w:rsidP="00DE7618">
                            <w:pPr>
                              <w:pStyle w:val="NoSpacing"/>
                              <w:numPr>
                                <w:ilvl w:val="0"/>
                                <w:numId w:val="20"/>
                              </w:numPr>
                              <w:spacing w:line="228" w:lineRule="auto"/>
                              <w:jc w:val="both"/>
                              <w:rPr>
                                <w:sz w:val="19"/>
                                <w:szCs w:val="19"/>
                              </w:rPr>
                            </w:pPr>
                            <w:r w:rsidRPr="001C45C2">
                              <w:rPr>
                                <w:bCs/>
                                <w:sz w:val="19"/>
                                <w:szCs w:val="19"/>
                                <w:lang w:val="en-ZA"/>
                              </w:rPr>
                              <w:t>Where it has been exempted by the FSB from the provisions of section 28 (liquidation provisions). In this case, the person responsible for the winding-up of the fund must ensure that the fund complies with all the exemption requirements and conditions and thereafter the fund can apply for i</w:t>
                            </w:r>
                            <w:r>
                              <w:rPr>
                                <w:bCs/>
                                <w:sz w:val="19"/>
                                <w:szCs w:val="19"/>
                                <w:lang w:val="en-ZA"/>
                              </w:rPr>
                              <w:t>ts registration to be cancelled; or</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When the last member on the fund has exited the fund and the fund no longer holds any assets or liabilities, nor has pending litigation against it; or</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 xml:space="preserve">Where </w:t>
                            </w:r>
                            <w:r w:rsidRPr="001C45C2">
                              <w:rPr>
                                <w:bCs/>
                                <w:sz w:val="19"/>
                                <w:szCs w:val="19"/>
                                <w:lang w:val="en-ZA"/>
                              </w:rPr>
                              <w:t>the fund</w:t>
                            </w:r>
                            <w:r>
                              <w:rPr>
                                <w:bCs/>
                                <w:sz w:val="19"/>
                                <w:szCs w:val="19"/>
                                <w:lang w:val="en-ZA"/>
                              </w:rPr>
                              <w:t xml:space="preserve"> </w:t>
                            </w:r>
                            <w:r w:rsidRPr="001C45C2">
                              <w:rPr>
                                <w:bCs/>
                                <w:sz w:val="19"/>
                                <w:szCs w:val="19"/>
                                <w:lang w:val="en-ZA"/>
                              </w:rPr>
                              <w:t>ne</w:t>
                            </w:r>
                            <w:r>
                              <w:rPr>
                                <w:bCs/>
                                <w:sz w:val="19"/>
                                <w:szCs w:val="19"/>
                                <w:lang w:val="en-ZA"/>
                              </w:rPr>
                              <w:t>ver commenced business</w:t>
                            </w:r>
                            <w:r w:rsidRPr="00A84ED8">
                              <w:rPr>
                                <w:bCs/>
                                <w:sz w:val="19"/>
                                <w:szCs w:val="19"/>
                                <w:lang w:val="en-ZA"/>
                              </w:rPr>
                              <w:t xml:space="preserve"> </w:t>
                            </w:r>
                            <w:r>
                              <w:rPr>
                                <w:bCs/>
                                <w:sz w:val="19"/>
                                <w:szCs w:val="19"/>
                                <w:lang w:val="en-ZA"/>
                              </w:rPr>
                              <w:t xml:space="preserve">and thus the fund was </w:t>
                            </w:r>
                            <w:r w:rsidRPr="001C45C2">
                              <w:rPr>
                                <w:bCs/>
                                <w:sz w:val="19"/>
                                <w:szCs w:val="19"/>
                                <w:lang w:val="en-ZA"/>
                              </w:rPr>
                              <w:t>registered by mistake</w:t>
                            </w:r>
                            <w:r>
                              <w:rPr>
                                <w:bCs/>
                                <w:sz w:val="19"/>
                                <w:szCs w:val="19"/>
                                <w:lang w:val="en-ZA"/>
                              </w:rPr>
                              <w:t>.</w:t>
                            </w:r>
                          </w:p>
                          <w:p w:rsidR="00DE7618" w:rsidRPr="001C45C2" w:rsidRDefault="00DE7618" w:rsidP="00DE7618">
                            <w:pPr>
                              <w:spacing w:line="228" w:lineRule="auto"/>
                              <w:jc w:val="both"/>
                              <w:rPr>
                                <w:rFonts w:asciiTheme="minorHAnsi" w:hAnsiTheme="minorHAnsi" w:cs="Arial"/>
                                <w:sz w:val="19"/>
                                <w:szCs w:val="19"/>
                              </w:rPr>
                            </w:pPr>
                          </w:p>
                          <w:p w:rsidR="00DE7618" w:rsidRPr="001C45C2" w:rsidRDefault="00DE7618" w:rsidP="00DE7618">
                            <w:pPr>
                              <w:spacing w:line="228" w:lineRule="auto"/>
                              <w:jc w:val="both"/>
                              <w:rPr>
                                <w:rFonts w:cs="Arial"/>
                                <w:sz w:val="19"/>
                                <w:szCs w:val="19"/>
                              </w:rPr>
                            </w:pPr>
                            <w:r w:rsidRPr="001C45C2">
                              <w:rPr>
                                <w:rFonts w:asciiTheme="minorHAnsi" w:hAnsiTheme="minorHAnsi" w:cs="Arial"/>
                                <w:sz w:val="19"/>
                                <w:szCs w:val="19"/>
                              </w:rPr>
                              <w:t xml:space="preserve">The specific information required for </w:t>
                            </w:r>
                            <w:r>
                              <w:rPr>
                                <w:rFonts w:asciiTheme="minorHAnsi" w:hAnsiTheme="minorHAnsi" w:cs="Arial"/>
                                <w:sz w:val="19"/>
                                <w:szCs w:val="19"/>
                              </w:rPr>
                              <w:t>cancellation of registration</w:t>
                            </w:r>
                            <w:r w:rsidRPr="001C45C2">
                              <w:rPr>
                                <w:rFonts w:asciiTheme="minorHAnsi" w:hAnsiTheme="minorHAnsi" w:cs="Arial"/>
                                <w:sz w:val="19"/>
                                <w:szCs w:val="19"/>
                              </w:rPr>
                              <w:t xml:space="preserve"> in each of the above circumstances</w:t>
                            </w:r>
                            <w:r>
                              <w:rPr>
                                <w:rFonts w:asciiTheme="minorHAnsi" w:hAnsiTheme="minorHAnsi" w:cs="Arial"/>
                                <w:sz w:val="19"/>
                                <w:szCs w:val="19"/>
                              </w:rPr>
                              <w:t>,</w:t>
                            </w:r>
                            <w:r w:rsidRPr="001C45C2">
                              <w:rPr>
                                <w:rFonts w:asciiTheme="minorHAnsi" w:hAnsiTheme="minorHAnsi" w:cs="Arial"/>
                                <w:sz w:val="19"/>
                                <w:szCs w:val="19"/>
                              </w:rPr>
                              <w:t xml:space="preserve"> is set out in Annexure A of the Circular.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0;margin-top:-11.95pt;width:223.65pt;height:33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" fillcolor="#bfbfbf [2412]" stroked="f">
                <v:textbox>
                  <w:txbxContent>
                    <w:p w:rsidR="00DE7618" w:rsidRPr="001C45C2" w:rsidRDefault="00DE7618" w:rsidP="00DE7618">
                      <w:pPr>
                        <w:pStyle w:val="NoSpacing"/>
                        <w:numPr>
                          <w:ilvl w:val="0"/>
                          <w:numId w:val="21"/>
                        </w:numPr>
                        <w:spacing w:line="228" w:lineRule="auto"/>
                        <w:rPr>
                          <w:b/>
                          <w:sz w:val="19"/>
                          <w:szCs w:val="19"/>
                        </w:rPr>
                      </w:pPr>
                      <w:r w:rsidRPr="001C45C2">
                        <w:rPr>
                          <w:b/>
                          <w:sz w:val="19"/>
                          <w:szCs w:val="19"/>
                        </w:rPr>
                        <w:t>S</w:t>
                      </w:r>
                      <w:r>
                        <w:rPr>
                          <w:b/>
                          <w:sz w:val="19"/>
                          <w:szCs w:val="19"/>
                        </w:rPr>
                        <w:t>tand-alone fund: cancellation of registration</w:t>
                      </w:r>
                    </w:p>
                    <w:p w:rsidR="00DE7618" w:rsidRPr="001C45C2" w:rsidRDefault="00DE7618" w:rsidP="00DE7618">
                      <w:pPr>
                        <w:spacing w:line="228" w:lineRule="auto"/>
                        <w:jc w:val="both"/>
                        <w:rPr>
                          <w:rFonts w:asciiTheme="minorHAnsi" w:hAnsiTheme="minorHAnsi" w:cs="Arial"/>
                          <w:sz w:val="19"/>
                          <w:szCs w:val="19"/>
                        </w:rPr>
                      </w:pPr>
                      <w:r w:rsidRPr="001C45C2">
                        <w:rPr>
                          <w:rFonts w:asciiTheme="minorHAnsi" w:hAnsiTheme="minorHAnsi" w:cs="Arial"/>
                          <w:sz w:val="19"/>
                          <w:szCs w:val="19"/>
                        </w:rPr>
                        <w:t xml:space="preserve">When a stand-alone fund applies for </w:t>
                      </w:r>
                      <w:r>
                        <w:rPr>
                          <w:rFonts w:asciiTheme="minorHAnsi" w:hAnsiTheme="minorHAnsi" w:cs="Arial"/>
                          <w:sz w:val="19"/>
                          <w:szCs w:val="19"/>
                        </w:rPr>
                        <w:t>cancellation of registration</w:t>
                      </w:r>
                      <w:r w:rsidRPr="001C45C2">
                        <w:rPr>
                          <w:rFonts w:asciiTheme="minorHAnsi" w:hAnsiTheme="minorHAnsi" w:cs="Arial"/>
                          <w:sz w:val="19"/>
                          <w:szCs w:val="19"/>
                        </w:rPr>
                        <w:t xml:space="preserve">, it must provide sufficient information to </w:t>
                      </w:r>
                      <w:r w:rsidR="00A24C53">
                        <w:rPr>
                          <w:rFonts w:asciiTheme="minorHAnsi" w:hAnsiTheme="minorHAnsi" w:cs="Arial"/>
                          <w:sz w:val="19"/>
                          <w:szCs w:val="19"/>
                        </w:rPr>
                        <w:t xml:space="preserve">the </w:t>
                      </w:r>
                      <w:bookmarkStart w:id="1" w:name="_GoBack"/>
                      <w:bookmarkEnd w:id="1"/>
                      <w:r w:rsidRPr="001C45C2">
                        <w:rPr>
                          <w:rFonts w:asciiTheme="minorHAnsi" w:hAnsiTheme="minorHAnsi" w:cs="Arial"/>
                          <w:sz w:val="19"/>
                          <w:szCs w:val="19"/>
                        </w:rPr>
                        <w:t xml:space="preserve">Registrar to prove that the fund has ceased to exist, as per section 27(1)(a) of the Act. A fund ceases to exist and </w:t>
                      </w:r>
                      <w:r>
                        <w:rPr>
                          <w:rFonts w:asciiTheme="minorHAnsi" w:hAnsiTheme="minorHAnsi" w:cs="Arial"/>
                          <w:sz w:val="19"/>
                          <w:szCs w:val="19"/>
                        </w:rPr>
                        <w:t>its registration can be cancelled</w:t>
                      </w:r>
                      <w:r w:rsidRPr="001C45C2">
                        <w:rPr>
                          <w:rFonts w:asciiTheme="minorHAnsi" w:hAnsiTheme="minorHAnsi" w:cs="Arial"/>
                          <w:sz w:val="19"/>
                          <w:szCs w:val="19"/>
                        </w:rPr>
                        <w:t>:</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 xml:space="preserve">When all members, assets and liabilities are transferred out of the fund via a Section 14 application. </w:t>
                      </w:r>
                      <w:r>
                        <w:rPr>
                          <w:sz w:val="19"/>
                          <w:szCs w:val="19"/>
                        </w:rPr>
                        <w:t>The trustees / administrator</w:t>
                      </w:r>
                      <w:r w:rsidRPr="001C45C2">
                        <w:rPr>
                          <w:sz w:val="19"/>
                          <w:szCs w:val="19"/>
                        </w:rPr>
                        <w:t xml:space="preserve"> can thereafter apply for </w:t>
                      </w:r>
                      <w:r w:rsidRPr="001C45C2">
                        <w:rPr>
                          <w:rFonts w:asciiTheme="minorHAnsi" w:hAnsiTheme="minorHAnsi" w:cs="Arial"/>
                          <w:sz w:val="19"/>
                          <w:szCs w:val="19"/>
                        </w:rPr>
                        <w:t>cancellation of the fund’s registration</w:t>
                      </w:r>
                      <w:r w:rsidRPr="001C45C2">
                        <w:rPr>
                          <w:sz w:val="19"/>
                          <w:szCs w:val="19"/>
                        </w:rPr>
                        <w:t>; or</w:t>
                      </w:r>
                    </w:p>
                    <w:p w:rsidR="00DE7618" w:rsidRPr="001C45C2" w:rsidRDefault="00DE7618" w:rsidP="00DE7618">
                      <w:pPr>
                        <w:pStyle w:val="NoSpacing"/>
                        <w:numPr>
                          <w:ilvl w:val="0"/>
                          <w:numId w:val="20"/>
                        </w:numPr>
                        <w:spacing w:line="228" w:lineRule="auto"/>
                        <w:jc w:val="both"/>
                        <w:rPr>
                          <w:sz w:val="19"/>
                          <w:szCs w:val="19"/>
                        </w:rPr>
                      </w:pPr>
                      <w:r w:rsidRPr="001C45C2">
                        <w:rPr>
                          <w:bCs/>
                          <w:sz w:val="19"/>
                          <w:szCs w:val="19"/>
                          <w:lang w:val="en-ZA"/>
                        </w:rPr>
                        <w:t>Where it has been exempted by the FSB from the provisions of section 28 (liquidation provisions). In this case, the person responsible for the winding-up of the fund must ensure that the fund complies with all the exemption requirements and conditions and thereafter the fund can apply for i</w:t>
                      </w:r>
                      <w:r>
                        <w:rPr>
                          <w:bCs/>
                          <w:sz w:val="19"/>
                          <w:szCs w:val="19"/>
                          <w:lang w:val="en-ZA"/>
                        </w:rPr>
                        <w:t>ts registration to be cancelled; or</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When the last member on the fund has exited the fund and the fund no longer holds any assets or liabilities, nor has pending litigation against it; or</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 xml:space="preserve">Where </w:t>
                      </w:r>
                      <w:r w:rsidRPr="001C45C2">
                        <w:rPr>
                          <w:bCs/>
                          <w:sz w:val="19"/>
                          <w:szCs w:val="19"/>
                          <w:lang w:val="en-ZA"/>
                        </w:rPr>
                        <w:t>the fund</w:t>
                      </w:r>
                      <w:r>
                        <w:rPr>
                          <w:bCs/>
                          <w:sz w:val="19"/>
                          <w:szCs w:val="19"/>
                          <w:lang w:val="en-ZA"/>
                        </w:rPr>
                        <w:t xml:space="preserve"> </w:t>
                      </w:r>
                      <w:r w:rsidRPr="001C45C2">
                        <w:rPr>
                          <w:bCs/>
                          <w:sz w:val="19"/>
                          <w:szCs w:val="19"/>
                          <w:lang w:val="en-ZA"/>
                        </w:rPr>
                        <w:t>ne</w:t>
                      </w:r>
                      <w:r>
                        <w:rPr>
                          <w:bCs/>
                          <w:sz w:val="19"/>
                          <w:szCs w:val="19"/>
                          <w:lang w:val="en-ZA"/>
                        </w:rPr>
                        <w:t>ver commenced business</w:t>
                      </w:r>
                      <w:r w:rsidRPr="00A84ED8">
                        <w:rPr>
                          <w:bCs/>
                          <w:sz w:val="19"/>
                          <w:szCs w:val="19"/>
                          <w:lang w:val="en-ZA"/>
                        </w:rPr>
                        <w:t xml:space="preserve"> </w:t>
                      </w:r>
                      <w:r>
                        <w:rPr>
                          <w:bCs/>
                          <w:sz w:val="19"/>
                          <w:szCs w:val="19"/>
                          <w:lang w:val="en-ZA"/>
                        </w:rPr>
                        <w:t xml:space="preserve">and thus the fund was </w:t>
                      </w:r>
                      <w:r w:rsidRPr="001C45C2">
                        <w:rPr>
                          <w:bCs/>
                          <w:sz w:val="19"/>
                          <w:szCs w:val="19"/>
                          <w:lang w:val="en-ZA"/>
                        </w:rPr>
                        <w:t>registered by mistake</w:t>
                      </w:r>
                      <w:r>
                        <w:rPr>
                          <w:bCs/>
                          <w:sz w:val="19"/>
                          <w:szCs w:val="19"/>
                          <w:lang w:val="en-ZA"/>
                        </w:rPr>
                        <w:t>.</w:t>
                      </w:r>
                    </w:p>
                    <w:p w:rsidR="00DE7618" w:rsidRPr="001C45C2" w:rsidRDefault="00DE7618" w:rsidP="00DE7618">
                      <w:pPr>
                        <w:spacing w:line="228" w:lineRule="auto"/>
                        <w:jc w:val="both"/>
                        <w:rPr>
                          <w:rFonts w:asciiTheme="minorHAnsi" w:hAnsiTheme="minorHAnsi" w:cs="Arial"/>
                          <w:sz w:val="19"/>
                          <w:szCs w:val="19"/>
                        </w:rPr>
                      </w:pPr>
                    </w:p>
                    <w:p w:rsidR="00DE7618" w:rsidRPr="001C45C2" w:rsidRDefault="00DE7618" w:rsidP="00DE7618">
                      <w:pPr>
                        <w:spacing w:line="228" w:lineRule="auto"/>
                        <w:jc w:val="both"/>
                        <w:rPr>
                          <w:rFonts w:cs="Arial"/>
                          <w:sz w:val="19"/>
                          <w:szCs w:val="19"/>
                        </w:rPr>
                      </w:pPr>
                      <w:r w:rsidRPr="001C45C2">
                        <w:rPr>
                          <w:rFonts w:asciiTheme="minorHAnsi" w:hAnsiTheme="minorHAnsi" w:cs="Arial"/>
                          <w:sz w:val="19"/>
                          <w:szCs w:val="19"/>
                        </w:rPr>
                        <w:t xml:space="preserve">The specific information required for </w:t>
                      </w:r>
                      <w:r>
                        <w:rPr>
                          <w:rFonts w:asciiTheme="minorHAnsi" w:hAnsiTheme="minorHAnsi" w:cs="Arial"/>
                          <w:sz w:val="19"/>
                          <w:szCs w:val="19"/>
                        </w:rPr>
                        <w:t>cancellation of registration</w:t>
                      </w:r>
                      <w:r w:rsidRPr="001C45C2">
                        <w:rPr>
                          <w:rFonts w:asciiTheme="minorHAnsi" w:hAnsiTheme="minorHAnsi" w:cs="Arial"/>
                          <w:sz w:val="19"/>
                          <w:szCs w:val="19"/>
                        </w:rPr>
                        <w:t xml:space="preserve"> in each of the above circumstances</w:t>
                      </w:r>
                      <w:r>
                        <w:rPr>
                          <w:rFonts w:asciiTheme="minorHAnsi" w:hAnsiTheme="minorHAnsi" w:cs="Arial"/>
                          <w:sz w:val="19"/>
                          <w:szCs w:val="19"/>
                        </w:rPr>
                        <w:t>,</w:t>
                      </w:r>
                      <w:r w:rsidRPr="001C45C2">
                        <w:rPr>
                          <w:rFonts w:asciiTheme="minorHAnsi" w:hAnsiTheme="minorHAnsi" w:cs="Arial"/>
                          <w:sz w:val="19"/>
                          <w:szCs w:val="19"/>
                        </w:rPr>
                        <w:t xml:space="preserve"> is set out in Annexure A of the Circular. </w:t>
                      </w:r>
                    </w:p>
                  </w:txbxContent>
                </v:textbox>
              </v:shape>
            </w:pict>
          </mc:Fallback>
        </mc:AlternateContent>
      </w:r>
      <w:r>
        <w:rPr>
          <w:rFonts w:asciiTheme="minorHAnsi" w:hAnsiTheme="minorHAnsi" w:cs="Arial"/>
          <w:bCs/>
          <w:iCs/>
          <w:noProof/>
          <w:szCs w:val="21"/>
          <w:lang w:val="en-ZA" w:eastAsia="en-ZA"/>
        </w:rPr>
        <mc:AlternateContent>
          <mc:Choice Requires="wps">
            <w:drawing>
              <wp:anchor distT="0" distB="0" distL="114300" distR="114300" simplePos="0" relativeHeight="251697152" behindDoc="0" locked="0" layoutInCell="1" allowOverlap="1">
                <wp:simplePos x="0" y="0"/>
                <wp:positionH relativeFrom="column">
                  <wp:posOffset>2840355</wp:posOffset>
                </wp:positionH>
                <wp:positionV relativeFrom="paragraph">
                  <wp:posOffset>-151765</wp:posOffset>
                </wp:positionV>
                <wp:extent cx="2453640" cy="4222115"/>
                <wp:effectExtent l="0" t="635" r="381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22211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DE7618">
                            <w:pPr>
                              <w:pStyle w:val="NoSpacing"/>
                              <w:numPr>
                                <w:ilvl w:val="0"/>
                                <w:numId w:val="21"/>
                              </w:numPr>
                              <w:spacing w:line="228" w:lineRule="auto"/>
                              <w:jc w:val="both"/>
                              <w:rPr>
                                <w:b/>
                                <w:sz w:val="19"/>
                                <w:szCs w:val="19"/>
                              </w:rPr>
                            </w:pPr>
                            <w:r w:rsidRPr="001C45C2">
                              <w:rPr>
                                <w:b/>
                                <w:sz w:val="19"/>
                                <w:szCs w:val="19"/>
                              </w:rPr>
                              <w:t>Termination of participation by an employer from an umbrella fund</w:t>
                            </w:r>
                          </w:p>
                          <w:p w:rsidR="00DE7618" w:rsidRPr="001C45C2" w:rsidRDefault="00DE7618" w:rsidP="00DE7618">
                            <w:pPr>
                              <w:spacing w:line="228" w:lineRule="auto"/>
                              <w:jc w:val="both"/>
                              <w:rPr>
                                <w:rFonts w:asciiTheme="minorHAnsi" w:hAnsiTheme="minorHAnsi" w:cs="Arial"/>
                                <w:sz w:val="19"/>
                                <w:szCs w:val="19"/>
                              </w:rPr>
                            </w:pPr>
                            <w:r w:rsidRPr="001C45C2">
                              <w:rPr>
                                <w:rFonts w:asciiTheme="minorHAnsi" w:hAnsiTheme="minorHAnsi" w:cs="Arial"/>
                                <w:sz w:val="19"/>
                                <w:szCs w:val="19"/>
                              </w:rPr>
                              <w:t>When a participating employer terminates its participation in an umbrella fund, the umbrella fund board must inform the FSB of this event and submit a rule amendment allowing for this (if necessary).</w:t>
                            </w:r>
                          </w:p>
                          <w:p w:rsidR="00DE7618" w:rsidRPr="001C45C2" w:rsidRDefault="00DE7618" w:rsidP="00DE7618">
                            <w:pPr>
                              <w:spacing w:line="228" w:lineRule="auto"/>
                              <w:jc w:val="both"/>
                              <w:rPr>
                                <w:rFonts w:asciiTheme="minorHAnsi" w:hAnsiTheme="minorHAnsi" w:cs="Arial"/>
                                <w:sz w:val="19"/>
                                <w:szCs w:val="19"/>
                              </w:rPr>
                            </w:pPr>
                            <w:r w:rsidRPr="001C45C2">
                              <w:rPr>
                                <w:rFonts w:asciiTheme="minorHAnsi" w:hAnsiTheme="minorHAnsi" w:cs="Arial"/>
                                <w:sz w:val="19"/>
                                <w:szCs w:val="19"/>
                              </w:rPr>
                              <w:t>Termination of participation of an employer in an umbrella fund can take place:</w:t>
                            </w:r>
                          </w:p>
                          <w:p w:rsidR="00DE7618" w:rsidRPr="001C45C2" w:rsidRDefault="00DE7618" w:rsidP="00DE7618">
                            <w:pPr>
                              <w:pStyle w:val="NoSpacing"/>
                              <w:numPr>
                                <w:ilvl w:val="0"/>
                                <w:numId w:val="20"/>
                              </w:numPr>
                              <w:spacing w:line="228" w:lineRule="auto"/>
                              <w:jc w:val="both"/>
                              <w:rPr>
                                <w:rFonts w:asciiTheme="minorHAnsi" w:hAnsiTheme="minorHAnsi" w:cs="Arial"/>
                                <w:sz w:val="19"/>
                                <w:szCs w:val="19"/>
                              </w:rPr>
                            </w:pPr>
                            <w:r w:rsidRPr="001C45C2">
                              <w:rPr>
                                <w:sz w:val="19"/>
                                <w:szCs w:val="19"/>
                              </w:rPr>
                              <w:t>When all members, assets and liabilities are transferred out of the fund via a Section 14 application</w:t>
                            </w:r>
                            <w:r>
                              <w:rPr>
                                <w:rFonts w:asciiTheme="minorHAnsi" w:hAnsiTheme="minorHAnsi" w:cs="Arial"/>
                                <w:sz w:val="19"/>
                                <w:szCs w:val="19"/>
                              </w:rPr>
                              <w:t>; or</w:t>
                            </w:r>
                          </w:p>
                          <w:p w:rsidR="00DE7618" w:rsidRPr="001C45C2" w:rsidRDefault="00DE7618" w:rsidP="00DE7618">
                            <w:pPr>
                              <w:pStyle w:val="NoSpacing"/>
                              <w:numPr>
                                <w:ilvl w:val="0"/>
                                <w:numId w:val="20"/>
                              </w:numPr>
                              <w:spacing w:line="228" w:lineRule="auto"/>
                              <w:jc w:val="both"/>
                              <w:rPr>
                                <w:rFonts w:asciiTheme="minorHAnsi" w:hAnsiTheme="minorHAnsi" w:cs="Arial"/>
                                <w:sz w:val="19"/>
                                <w:szCs w:val="19"/>
                              </w:rPr>
                            </w:pPr>
                            <w:r w:rsidRPr="001C45C2">
                              <w:rPr>
                                <w:bCs/>
                                <w:sz w:val="19"/>
                                <w:szCs w:val="19"/>
                                <w:lang w:val="en-ZA"/>
                              </w:rPr>
                              <w:t>Where it has been exempted by the FSB from the provisions of section 28 (subject to the same terms and condition as a stand-alone fund)</w:t>
                            </w:r>
                            <w:r>
                              <w:rPr>
                                <w:bCs/>
                                <w:sz w:val="19"/>
                                <w:szCs w:val="19"/>
                                <w:lang w:val="en-ZA"/>
                              </w:rPr>
                              <w:t>; or</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When the last member in respect of the particular employer’s participation in the umbrella fund has exited the participating employer’s participation in the umbrella fund</w:t>
                            </w:r>
                            <w:r>
                              <w:rPr>
                                <w:sz w:val="19"/>
                                <w:szCs w:val="19"/>
                              </w:rPr>
                              <w:t>; or</w:t>
                            </w:r>
                          </w:p>
                          <w:p w:rsidR="00DE7618" w:rsidRPr="001C45C2" w:rsidRDefault="00DE7618" w:rsidP="00DE7618">
                            <w:pPr>
                              <w:pStyle w:val="NoSpacing"/>
                              <w:numPr>
                                <w:ilvl w:val="0"/>
                                <w:numId w:val="20"/>
                              </w:numPr>
                              <w:spacing w:line="228" w:lineRule="auto"/>
                              <w:jc w:val="both"/>
                              <w:rPr>
                                <w:rFonts w:asciiTheme="minorHAnsi" w:hAnsiTheme="minorHAnsi" w:cs="Arial"/>
                                <w:sz w:val="19"/>
                                <w:szCs w:val="19"/>
                              </w:rPr>
                            </w:pPr>
                            <w:r w:rsidRPr="001C45C2">
                              <w:rPr>
                                <w:rFonts w:asciiTheme="minorHAnsi" w:hAnsiTheme="minorHAnsi" w:cs="Arial"/>
                                <w:sz w:val="19"/>
                                <w:szCs w:val="19"/>
                              </w:rPr>
                              <w:t>Where special rules were registered for an employer that did not participate in the umbrella fund</w:t>
                            </w:r>
                            <w:r>
                              <w:rPr>
                                <w:rFonts w:asciiTheme="minorHAnsi" w:hAnsiTheme="minorHAnsi" w:cs="Arial"/>
                                <w:sz w:val="19"/>
                                <w:szCs w:val="19"/>
                              </w:rPr>
                              <w:t>, in reality.</w:t>
                            </w:r>
                          </w:p>
                          <w:p w:rsidR="00DE7618" w:rsidRPr="001C45C2" w:rsidRDefault="00DE7618" w:rsidP="00DE7618">
                            <w:pPr>
                              <w:spacing w:line="228" w:lineRule="auto"/>
                              <w:jc w:val="both"/>
                              <w:rPr>
                                <w:rFonts w:asciiTheme="minorHAnsi" w:hAnsiTheme="minorHAnsi" w:cs="Arial"/>
                                <w:sz w:val="19"/>
                                <w:szCs w:val="19"/>
                              </w:rPr>
                            </w:pPr>
                          </w:p>
                          <w:p w:rsidR="00DE7618" w:rsidRPr="001C45C2" w:rsidRDefault="00DE7618" w:rsidP="00DE7618">
                            <w:pPr>
                              <w:spacing w:line="228" w:lineRule="auto"/>
                              <w:jc w:val="both"/>
                              <w:rPr>
                                <w:rFonts w:cs="Arial"/>
                                <w:sz w:val="19"/>
                                <w:szCs w:val="19"/>
                              </w:rPr>
                            </w:pPr>
                            <w:r w:rsidRPr="001C45C2">
                              <w:rPr>
                                <w:rFonts w:asciiTheme="minorHAnsi" w:hAnsiTheme="minorHAnsi" w:cs="Arial"/>
                                <w:sz w:val="19"/>
                                <w:szCs w:val="19"/>
                              </w:rPr>
                              <w:t xml:space="preserve">The specific information required for termination of a participating employer in each of the above circumstances, is set out in Annexure B of the Circular.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23.65pt;margin-top:-11.95pt;width:193.2pt;height:33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" fillcolor="#d8d8d8 [2732]" stroked="f">
                <v:textbox>
                  <w:txbxContent>
                    <w:p w:rsidR="00DE7618" w:rsidRPr="001C45C2" w:rsidRDefault="00DE7618" w:rsidP="00DE7618">
                      <w:pPr>
                        <w:pStyle w:val="NoSpacing"/>
                        <w:numPr>
                          <w:ilvl w:val="0"/>
                          <w:numId w:val="21"/>
                        </w:numPr>
                        <w:spacing w:line="228" w:lineRule="auto"/>
                        <w:jc w:val="both"/>
                        <w:rPr>
                          <w:b/>
                          <w:sz w:val="19"/>
                          <w:szCs w:val="19"/>
                        </w:rPr>
                      </w:pPr>
                      <w:r w:rsidRPr="001C45C2">
                        <w:rPr>
                          <w:b/>
                          <w:sz w:val="19"/>
                          <w:szCs w:val="19"/>
                        </w:rPr>
                        <w:t>Termination of participation by an employer from an umbrella fund</w:t>
                      </w:r>
                    </w:p>
                    <w:p w:rsidR="00DE7618" w:rsidRPr="001C45C2" w:rsidRDefault="00DE7618" w:rsidP="00DE7618">
                      <w:pPr>
                        <w:spacing w:line="228" w:lineRule="auto"/>
                        <w:jc w:val="both"/>
                        <w:rPr>
                          <w:rFonts w:asciiTheme="minorHAnsi" w:hAnsiTheme="minorHAnsi" w:cs="Arial"/>
                          <w:sz w:val="19"/>
                          <w:szCs w:val="19"/>
                        </w:rPr>
                      </w:pPr>
                      <w:r w:rsidRPr="001C45C2">
                        <w:rPr>
                          <w:rFonts w:asciiTheme="minorHAnsi" w:hAnsiTheme="minorHAnsi" w:cs="Arial"/>
                          <w:sz w:val="19"/>
                          <w:szCs w:val="19"/>
                        </w:rPr>
                        <w:t>When a participating employer terminates its participation in an umbrella fund, the umbrella fund board must inform the FSB of this event and submit a rule amendment allowing for this (if necessary).</w:t>
                      </w:r>
                    </w:p>
                    <w:p w:rsidR="00DE7618" w:rsidRPr="001C45C2" w:rsidRDefault="00DE7618" w:rsidP="00DE7618">
                      <w:pPr>
                        <w:spacing w:line="228" w:lineRule="auto"/>
                        <w:jc w:val="both"/>
                        <w:rPr>
                          <w:rFonts w:asciiTheme="minorHAnsi" w:hAnsiTheme="minorHAnsi" w:cs="Arial"/>
                          <w:sz w:val="19"/>
                          <w:szCs w:val="19"/>
                        </w:rPr>
                      </w:pPr>
                      <w:r w:rsidRPr="001C45C2">
                        <w:rPr>
                          <w:rFonts w:asciiTheme="minorHAnsi" w:hAnsiTheme="minorHAnsi" w:cs="Arial"/>
                          <w:sz w:val="19"/>
                          <w:szCs w:val="19"/>
                        </w:rPr>
                        <w:t>Termination of participation of an employer in an umbrella fund can take place:</w:t>
                      </w:r>
                    </w:p>
                    <w:p w:rsidR="00DE7618" w:rsidRPr="001C45C2" w:rsidRDefault="00DE7618" w:rsidP="00DE7618">
                      <w:pPr>
                        <w:pStyle w:val="NoSpacing"/>
                        <w:numPr>
                          <w:ilvl w:val="0"/>
                          <w:numId w:val="20"/>
                        </w:numPr>
                        <w:spacing w:line="228" w:lineRule="auto"/>
                        <w:jc w:val="both"/>
                        <w:rPr>
                          <w:rFonts w:asciiTheme="minorHAnsi" w:hAnsiTheme="minorHAnsi" w:cs="Arial"/>
                          <w:sz w:val="19"/>
                          <w:szCs w:val="19"/>
                        </w:rPr>
                      </w:pPr>
                      <w:r w:rsidRPr="001C45C2">
                        <w:rPr>
                          <w:sz w:val="19"/>
                          <w:szCs w:val="19"/>
                        </w:rPr>
                        <w:t>When all members, assets and liabilities are transferred out of the fund via a Section 14 application</w:t>
                      </w:r>
                      <w:r>
                        <w:rPr>
                          <w:rFonts w:asciiTheme="minorHAnsi" w:hAnsiTheme="minorHAnsi" w:cs="Arial"/>
                          <w:sz w:val="19"/>
                          <w:szCs w:val="19"/>
                        </w:rPr>
                        <w:t>; or</w:t>
                      </w:r>
                    </w:p>
                    <w:p w:rsidR="00DE7618" w:rsidRPr="001C45C2" w:rsidRDefault="00DE7618" w:rsidP="00DE7618">
                      <w:pPr>
                        <w:pStyle w:val="NoSpacing"/>
                        <w:numPr>
                          <w:ilvl w:val="0"/>
                          <w:numId w:val="20"/>
                        </w:numPr>
                        <w:spacing w:line="228" w:lineRule="auto"/>
                        <w:jc w:val="both"/>
                        <w:rPr>
                          <w:rFonts w:asciiTheme="minorHAnsi" w:hAnsiTheme="minorHAnsi" w:cs="Arial"/>
                          <w:sz w:val="19"/>
                          <w:szCs w:val="19"/>
                        </w:rPr>
                      </w:pPr>
                      <w:r w:rsidRPr="001C45C2">
                        <w:rPr>
                          <w:bCs/>
                          <w:sz w:val="19"/>
                          <w:szCs w:val="19"/>
                          <w:lang w:val="en-ZA"/>
                        </w:rPr>
                        <w:t>Where it has been exempted by the FSB from the provisions of section 28 (subject to the same terms and condition as a stand-alone fund)</w:t>
                      </w:r>
                      <w:r>
                        <w:rPr>
                          <w:bCs/>
                          <w:sz w:val="19"/>
                          <w:szCs w:val="19"/>
                          <w:lang w:val="en-ZA"/>
                        </w:rPr>
                        <w:t>; or</w:t>
                      </w:r>
                    </w:p>
                    <w:p w:rsidR="00DE7618" w:rsidRPr="001C45C2" w:rsidRDefault="00DE7618" w:rsidP="00DE7618">
                      <w:pPr>
                        <w:pStyle w:val="NoSpacing"/>
                        <w:numPr>
                          <w:ilvl w:val="0"/>
                          <w:numId w:val="20"/>
                        </w:numPr>
                        <w:spacing w:line="228" w:lineRule="auto"/>
                        <w:jc w:val="both"/>
                        <w:rPr>
                          <w:sz w:val="19"/>
                          <w:szCs w:val="19"/>
                        </w:rPr>
                      </w:pPr>
                      <w:r w:rsidRPr="001C45C2">
                        <w:rPr>
                          <w:sz w:val="19"/>
                          <w:szCs w:val="19"/>
                        </w:rPr>
                        <w:t>When the last member in respect of the particular employer’s participation in the umbrella fund has exited the participating employer’s participation in the umbrella fund</w:t>
                      </w:r>
                      <w:r>
                        <w:rPr>
                          <w:sz w:val="19"/>
                          <w:szCs w:val="19"/>
                        </w:rPr>
                        <w:t>; or</w:t>
                      </w:r>
                    </w:p>
                    <w:p w:rsidR="00DE7618" w:rsidRPr="001C45C2" w:rsidRDefault="00DE7618" w:rsidP="00DE7618">
                      <w:pPr>
                        <w:pStyle w:val="NoSpacing"/>
                        <w:numPr>
                          <w:ilvl w:val="0"/>
                          <w:numId w:val="20"/>
                        </w:numPr>
                        <w:spacing w:line="228" w:lineRule="auto"/>
                        <w:jc w:val="both"/>
                        <w:rPr>
                          <w:rFonts w:asciiTheme="minorHAnsi" w:hAnsiTheme="minorHAnsi" w:cs="Arial"/>
                          <w:sz w:val="19"/>
                          <w:szCs w:val="19"/>
                        </w:rPr>
                      </w:pPr>
                      <w:r w:rsidRPr="001C45C2">
                        <w:rPr>
                          <w:rFonts w:asciiTheme="minorHAnsi" w:hAnsiTheme="minorHAnsi" w:cs="Arial"/>
                          <w:sz w:val="19"/>
                          <w:szCs w:val="19"/>
                        </w:rPr>
                        <w:t>Where special rules were registered for an employer that did not participate in the umbrella fund</w:t>
                      </w:r>
                      <w:r>
                        <w:rPr>
                          <w:rFonts w:asciiTheme="minorHAnsi" w:hAnsiTheme="minorHAnsi" w:cs="Arial"/>
                          <w:sz w:val="19"/>
                          <w:szCs w:val="19"/>
                        </w:rPr>
                        <w:t>, in reality.</w:t>
                      </w:r>
                    </w:p>
                    <w:p w:rsidR="00DE7618" w:rsidRPr="001C45C2" w:rsidRDefault="00DE7618" w:rsidP="00DE7618">
                      <w:pPr>
                        <w:spacing w:line="228" w:lineRule="auto"/>
                        <w:jc w:val="both"/>
                        <w:rPr>
                          <w:rFonts w:asciiTheme="minorHAnsi" w:hAnsiTheme="minorHAnsi" w:cs="Arial"/>
                          <w:sz w:val="19"/>
                          <w:szCs w:val="19"/>
                        </w:rPr>
                      </w:pPr>
                    </w:p>
                    <w:p w:rsidR="00DE7618" w:rsidRPr="001C45C2" w:rsidRDefault="00DE7618" w:rsidP="00DE7618">
                      <w:pPr>
                        <w:spacing w:line="228" w:lineRule="auto"/>
                        <w:jc w:val="both"/>
                        <w:rPr>
                          <w:rFonts w:cs="Arial"/>
                          <w:sz w:val="19"/>
                          <w:szCs w:val="19"/>
                        </w:rPr>
                      </w:pPr>
                      <w:r w:rsidRPr="001C45C2">
                        <w:rPr>
                          <w:rFonts w:asciiTheme="minorHAnsi" w:hAnsiTheme="minorHAnsi" w:cs="Arial"/>
                          <w:sz w:val="19"/>
                          <w:szCs w:val="19"/>
                        </w:rPr>
                        <w:t xml:space="preserve">The specific information required for termination of a participating employer in each of the above circumstances, is set out in Annexure B of the Circular. </w:t>
                      </w:r>
                    </w:p>
                  </w:txbxContent>
                </v:textbox>
              </v:shape>
            </w:pict>
          </mc:Fallback>
        </mc:AlternateContent>
      </w:r>
    </w:p>
    <w:p w:rsidR="00450A00" w:rsidRDefault="00450A00"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450A00">
      <w:pPr>
        <w:pStyle w:val="NoSpacing"/>
        <w:jc w:val="both"/>
        <w:rPr>
          <w:rFonts w:asciiTheme="minorHAnsi" w:hAnsiTheme="minorHAnsi" w:cs="Arial"/>
          <w:bCs/>
          <w:iCs/>
          <w:szCs w:val="21"/>
          <w:lang w:val="en-ZA"/>
        </w:rPr>
      </w:pPr>
    </w:p>
    <w:p w:rsidR="00DE7618" w:rsidRDefault="00DE7618" w:rsidP="00DE7618">
      <w:pPr>
        <w:jc w:val="both"/>
        <w:rPr>
          <w:rFonts w:asciiTheme="minorHAnsi" w:hAnsiTheme="minorHAnsi" w:cs="Arial"/>
          <w:sz w:val="21"/>
          <w:szCs w:val="21"/>
        </w:rPr>
      </w:pPr>
    </w:p>
    <w:p w:rsidR="00DE7618" w:rsidRPr="00315F1A" w:rsidRDefault="00DE7618" w:rsidP="00DE7618">
      <w:pPr>
        <w:jc w:val="both"/>
        <w:rPr>
          <w:rFonts w:cs="Arial"/>
          <w:sz w:val="20"/>
          <w:szCs w:val="21"/>
        </w:rPr>
      </w:pPr>
      <w:r w:rsidRPr="00315F1A">
        <w:rPr>
          <w:rFonts w:asciiTheme="minorHAnsi" w:hAnsiTheme="minorHAnsi" w:cs="Arial"/>
          <w:sz w:val="20"/>
          <w:szCs w:val="21"/>
        </w:rPr>
        <w:t>In addition</w:t>
      </w:r>
      <w:r>
        <w:rPr>
          <w:rFonts w:asciiTheme="minorHAnsi" w:hAnsiTheme="minorHAnsi" w:cs="Arial"/>
          <w:sz w:val="20"/>
          <w:szCs w:val="21"/>
        </w:rPr>
        <w:t xml:space="preserve"> to the above</w:t>
      </w:r>
      <w:r w:rsidRPr="00315F1A">
        <w:rPr>
          <w:rFonts w:asciiTheme="minorHAnsi" w:hAnsiTheme="minorHAnsi" w:cs="Arial"/>
          <w:sz w:val="20"/>
          <w:szCs w:val="21"/>
        </w:rPr>
        <w:t>, the FSB may potentially request further information. All applications must be submitted electronically to the FSB on the</w:t>
      </w:r>
      <w:r>
        <w:rPr>
          <w:rFonts w:asciiTheme="minorHAnsi" w:hAnsiTheme="minorHAnsi" w:cs="Arial"/>
          <w:sz w:val="20"/>
          <w:szCs w:val="21"/>
        </w:rPr>
        <w:t>ir</w:t>
      </w:r>
      <w:r w:rsidRPr="00315F1A">
        <w:rPr>
          <w:rFonts w:asciiTheme="minorHAnsi" w:hAnsiTheme="minorHAnsi" w:cs="Arial"/>
          <w:sz w:val="20"/>
          <w:szCs w:val="21"/>
        </w:rPr>
        <w:t xml:space="preserve"> Retirement Funds On-line System.</w:t>
      </w:r>
    </w:p>
    <w:p w:rsidR="00DE7618" w:rsidRDefault="00DE7618" w:rsidP="00DE7618">
      <w:pPr>
        <w:jc w:val="both"/>
        <w:rPr>
          <w:rFonts w:asciiTheme="minorHAnsi" w:hAnsiTheme="minorHAnsi" w:cs="Arial"/>
          <w:sz w:val="21"/>
          <w:szCs w:val="21"/>
        </w:rPr>
      </w:pPr>
    </w:p>
    <w:p w:rsidR="00DE7618" w:rsidRDefault="00A24C53" w:rsidP="00DE7618">
      <w:pPr>
        <w:jc w:val="both"/>
        <w:rPr>
          <w:rFonts w:asciiTheme="minorHAnsi" w:hAnsiTheme="minorHAnsi" w:cs="Arial"/>
          <w:sz w:val="21"/>
          <w:szCs w:val="21"/>
        </w:rPr>
      </w:pPr>
      <w:r>
        <w:rPr>
          <w:noProof/>
          <w:lang w:eastAsia="en-ZA"/>
        </w:rPr>
        <mc:AlternateContent>
          <mc:Choice Requires="wps">
            <w:drawing>
              <wp:anchor distT="0" distB="0" distL="114300" distR="114300" simplePos="0" relativeHeight="251700224" behindDoc="0" locked="0" layoutInCell="1" allowOverlap="1">
                <wp:simplePos x="0" y="0"/>
                <wp:positionH relativeFrom="column">
                  <wp:posOffset>3665855</wp:posOffset>
                </wp:positionH>
                <wp:positionV relativeFrom="paragraph">
                  <wp:posOffset>0</wp:posOffset>
                </wp:positionV>
                <wp:extent cx="1628140" cy="1729740"/>
                <wp:effectExtent l="0" t="0" r="3810" b="0"/>
                <wp:wrapSquare wrapText="bothSides"/>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729740"/>
                        </a:xfrm>
                        <a:prstGeom prst="rect">
                          <a:avLst/>
                        </a:prstGeom>
                        <a:solidFill>
                          <a:srgbClr val="F6F5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DE7618">
                            <w:pPr>
                              <w:spacing w:line="228" w:lineRule="auto"/>
                              <w:jc w:val="both"/>
                              <w:rPr>
                                <w:rFonts w:asciiTheme="minorHAnsi" w:hAnsiTheme="minorHAnsi" w:cs="Arial"/>
                                <w:b/>
                                <w:sz w:val="19"/>
                                <w:szCs w:val="19"/>
                              </w:rPr>
                            </w:pPr>
                            <w:r w:rsidRPr="001C45C2">
                              <w:rPr>
                                <w:rFonts w:asciiTheme="minorHAnsi" w:hAnsiTheme="minorHAnsi" w:cs="Arial"/>
                                <w:b/>
                                <w:sz w:val="19"/>
                                <w:szCs w:val="19"/>
                              </w:rPr>
                              <w:t xml:space="preserve">Pending </w:t>
                            </w:r>
                            <w:r>
                              <w:rPr>
                                <w:rFonts w:asciiTheme="minorHAnsi" w:hAnsiTheme="minorHAnsi" w:cs="Arial"/>
                                <w:b/>
                                <w:sz w:val="19"/>
                                <w:szCs w:val="19"/>
                              </w:rPr>
                              <w:t>cancellation of registration</w:t>
                            </w:r>
                            <w:r w:rsidRPr="001C45C2">
                              <w:rPr>
                                <w:rFonts w:asciiTheme="minorHAnsi" w:hAnsiTheme="minorHAnsi" w:cs="Arial"/>
                                <w:b/>
                                <w:sz w:val="19"/>
                                <w:szCs w:val="19"/>
                              </w:rPr>
                              <w:t xml:space="preserve"> applications</w:t>
                            </w:r>
                          </w:p>
                          <w:p w:rsidR="00DE7618" w:rsidRPr="001C45C2" w:rsidRDefault="00DE7618" w:rsidP="00DE7618">
                            <w:pPr>
                              <w:spacing w:line="228" w:lineRule="auto"/>
                              <w:jc w:val="both"/>
                              <w:rPr>
                                <w:rFonts w:cs="Arial"/>
                                <w:sz w:val="19"/>
                                <w:szCs w:val="19"/>
                              </w:rPr>
                            </w:pPr>
                            <w:r w:rsidRPr="001C45C2">
                              <w:rPr>
                                <w:rFonts w:asciiTheme="minorHAnsi" w:hAnsiTheme="minorHAnsi" w:cs="Arial"/>
                                <w:sz w:val="19"/>
                                <w:szCs w:val="19"/>
                              </w:rPr>
                              <w:t>Pending applications already submitted to the Registrar will continue to be processed. The Registrar may however request further information before the fund or the participating employer in an umbrella fund can be de-registered.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88.65pt;margin-top:0;width:128.2pt;height:1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" fillcolor="#f6f5ee" stroked="f">
                <v:textbox>
                  <w:txbxContent>
                    <w:p w:rsidR="00DE7618" w:rsidRPr="001C45C2" w:rsidRDefault="00DE7618" w:rsidP="00DE7618">
                      <w:pPr>
                        <w:spacing w:line="228" w:lineRule="auto"/>
                        <w:jc w:val="both"/>
                        <w:rPr>
                          <w:rFonts w:asciiTheme="minorHAnsi" w:hAnsiTheme="minorHAnsi" w:cs="Arial"/>
                          <w:b/>
                          <w:sz w:val="19"/>
                          <w:szCs w:val="19"/>
                        </w:rPr>
                      </w:pPr>
                      <w:r w:rsidRPr="001C45C2">
                        <w:rPr>
                          <w:rFonts w:asciiTheme="minorHAnsi" w:hAnsiTheme="minorHAnsi" w:cs="Arial"/>
                          <w:b/>
                          <w:sz w:val="19"/>
                          <w:szCs w:val="19"/>
                        </w:rPr>
                        <w:t xml:space="preserve">Pending </w:t>
                      </w:r>
                      <w:r>
                        <w:rPr>
                          <w:rFonts w:asciiTheme="minorHAnsi" w:hAnsiTheme="minorHAnsi" w:cs="Arial"/>
                          <w:b/>
                          <w:sz w:val="19"/>
                          <w:szCs w:val="19"/>
                        </w:rPr>
                        <w:t>cancellation of registration</w:t>
                      </w:r>
                      <w:r w:rsidRPr="001C45C2">
                        <w:rPr>
                          <w:rFonts w:asciiTheme="minorHAnsi" w:hAnsiTheme="minorHAnsi" w:cs="Arial"/>
                          <w:b/>
                          <w:sz w:val="19"/>
                          <w:szCs w:val="19"/>
                        </w:rPr>
                        <w:t xml:space="preserve"> applications</w:t>
                      </w:r>
                    </w:p>
                    <w:p w:rsidR="00DE7618" w:rsidRPr="001C45C2" w:rsidRDefault="00DE7618" w:rsidP="00DE7618">
                      <w:pPr>
                        <w:spacing w:line="228" w:lineRule="auto"/>
                        <w:jc w:val="both"/>
                        <w:rPr>
                          <w:rFonts w:cs="Arial"/>
                          <w:sz w:val="19"/>
                          <w:szCs w:val="19"/>
                        </w:rPr>
                      </w:pPr>
                      <w:r w:rsidRPr="001C45C2">
                        <w:rPr>
                          <w:rFonts w:asciiTheme="minorHAnsi" w:hAnsiTheme="minorHAnsi" w:cs="Arial"/>
                          <w:sz w:val="19"/>
                          <w:szCs w:val="19"/>
                        </w:rPr>
                        <w:t>Pending applications already submitted to the Registrar will continue to be processed. The Registrar may however request further information before the fund or the participating employer in an umbrella fund can be de-registered.</w:t>
                      </w:r>
                    </w:p>
                  </w:txbxContent>
                </v:textbox>
                <w10:wrap type="square"/>
              </v:shape>
            </w:pict>
          </mc:Fallback>
        </mc:AlternateContent>
      </w:r>
      <w:r>
        <w:rPr>
          <w:noProof/>
          <w:lang w:eastAsia="en-ZA"/>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3665855" cy="1729740"/>
                <wp:effectExtent l="0" t="0" r="3175"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72974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DE7618">
                            <w:pPr>
                              <w:spacing w:line="216" w:lineRule="auto"/>
                              <w:jc w:val="both"/>
                              <w:rPr>
                                <w:rFonts w:asciiTheme="minorHAnsi" w:hAnsiTheme="minorHAnsi" w:cs="Arial"/>
                                <w:b/>
                                <w:sz w:val="19"/>
                                <w:szCs w:val="19"/>
                              </w:rPr>
                            </w:pPr>
                            <w:r w:rsidRPr="001C45C2">
                              <w:rPr>
                                <w:rFonts w:asciiTheme="minorHAnsi" w:hAnsiTheme="minorHAnsi" w:cs="Arial"/>
                                <w:b/>
                                <w:sz w:val="19"/>
                                <w:szCs w:val="19"/>
                              </w:rPr>
                              <w:t>Process to finalise cancellation of registration by the FSB:</w:t>
                            </w:r>
                          </w:p>
                          <w:p w:rsidR="00DE7618" w:rsidRPr="001C45C2" w:rsidRDefault="00DE7618" w:rsidP="00DE7618">
                            <w:pPr>
                              <w:pStyle w:val="NoSpacing"/>
                              <w:numPr>
                                <w:ilvl w:val="0"/>
                                <w:numId w:val="20"/>
                              </w:numPr>
                              <w:spacing w:line="216" w:lineRule="auto"/>
                              <w:jc w:val="both"/>
                              <w:rPr>
                                <w:sz w:val="19"/>
                                <w:szCs w:val="19"/>
                              </w:rPr>
                            </w:pPr>
                            <w:r w:rsidRPr="001C45C2">
                              <w:rPr>
                                <w:sz w:val="19"/>
                                <w:szCs w:val="19"/>
                              </w:rPr>
                              <w:t xml:space="preserve">Before </w:t>
                            </w:r>
                            <w:r>
                              <w:rPr>
                                <w:sz w:val="19"/>
                                <w:szCs w:val="19"/>
                              </w:rPr>
                              <w:t>finalising</w:t>
                            </w:r>
                            <w:r w:rsidRPr="001C45C2">
                              <w:rPr>
                                <w:sz w:val="19"/>
                                <w:szCs w:val="19"/>
                              </w:rPr>
                              <w:t xml:space="preserve"> the above</w:t>
                            </w:r>
                            <w:r>
                              <w:rPr>
                                <w:sz w:val="19"/>
                                <w:szCs w:val="19"/>
                              </w:rPr>
                              <w:t xml:space="preserve"> for both a stand-alone fund and a participating employer’s withdrawal from an umbrella fund, the Registrar will publish an </w:t>
                            </w:r>
                            <w:r w:rsidRPr="001C45C2">
                              <w:rPr>
                                <w:sz w:val="19"/>
                                <w:szCs w:val="19"/>
                              </w:rPr>
                              <w:t xml:space="preserve">intention of cancellation of registration </w:t>
                            </w:r>
                            <w:r>
                              <w:rPr>
                                <w:sz w:val="19"/>
                                <w:szCs w:val="19"/>
                              </w:rPr>
                              <w:t xml:space="preserve">notification </w:t>
                            </w:r>
                            <w:r w:rsidRPr="001C45C2">
                              <w:rPr>
                                <w:sz w:val="19"/>
                                <w:szCs w:val="19"/>
                              </w:rPr>
                              <w:t>as per the requirements of the Promotion of Administrative Justice Act, 2000 and on the FSB website, for a period of 30 days</w:t>
                            </w:r>
                          </w:p>
                          <w:p w:rsidR="00DE7618" w:rsidRPr="00F964F3" w:rsidRDefault="00DE7618" w:rsidP="00DE7618">
                            <w:pPr>
                              <w:pStyle w:val="NoSpacing"/>
                              <w:numPr>
                                <w:ilvl w:val="0"/>
                                <w:numId w:val="20"/>
                              </w:numPr>
                              <w:spacing w:line="216" w:lineRule="auto"/>
                              <w:jc w:val="both"/>
                              <w:rPr>
                                <w:rFonts w:asciiTheme="minorHAnsi" w:hAnsiTheme="minorHAnsi" w:cs="Arial"/>
                                <w:sz w:val="19"/>
                                <w:szCs w:val="19"/>
                              </w:rPr>
                            </w:pPr>
                            <w:r w:rsidRPr="00F964F3">
                              <w:rPr>
                                <w:sz w:val="19"/>
                                <w:szCs w:val="19"/>
                              </w:rPr>
                              <w:t xml:space="preserve">During this period, any affected person may lodge an objection to this process. Thereafter, the </w:t>
                            </w:r>
                            <w:r w:rsidRPr="00F964F3">
                              <w:rPr>
                                <w:sz w:val="19"/>
                                <w:szCs w:val="19"/>
                                <w:lang w:val="en-ZA"/>
                              </w:rPr>
                              <w:t xml:space="preserve">Registrar will make a decision as to </w:t>
                            </w:r>
                            <w:r w:rsidRPr="00F964F3">
                              <w:rPr>
                                <w:rFonts w:asciiTheme="minorHAnsi" w:hAnsiTheme="minorHAnsi" w:cs="Arial"/>
                                <w:sz w:val="19"/>
                                <w:szCs w:val="19"/>
                              </w:rPr>
                              <w:t>whether to proceed with the process</w:t>
                            </w:r>
                          </w:p>
                          <w:p w:rsidR="00DE7618" w:rsidRPr="001C45C2" w:rsidRDefault="00DE7618" w:rsidP="00DE7618">
                            <w:pPr>
                              <w:pStyle w:val="NoSpacing"/>
                              <w:numPr>
                                <w:ilvl w:val="0"/>
                                <w:numId w:val="20"/>
                              </w:numPr>
                              <w:spacing w:line="216" w:lineRule="auto"/>
                              <w:jc w:val="both"/>
                              <w:rPr>
                                <w:sz w:val="19"/>
                                <w:szCs w:val="19"/>
                              </w:rPr>
                            </w:pPr>
                            <w:r w:rsidRPr="001C45C2">
                              <w:rPr>
                                <w:sz w:val="19"/>
                                <w:szCs w:val="19"/>
                              </w:rPr>
                              <w:t xml:space="preserve">The </w:t>
                            </w:r>
                            <w:r>
                              <w:rPr>
                                <w:rFonts w:asciiTheme="minorHAnsi" w:hAnsiTheme="minorHAnsi" w:cs="Arial"/>
                                <w:sz w:val="19"/>
                                <w:szCs w:val="19"/>
                              </w:rPr>
                              <w:t>FSB</w:t>
                            </w:r>
                            <w:r w:rsidRPr="001C45C2">
                              <w:rPr>
                                <w:rFonts w:asciiTheme="minorHAnsi" w:hAnsiTheme="minorHAnsi" w:cs="Arial"/>
                                <w:sz w:val="19"/>
                                <w:szCs w:val="19"/>
                              </w:rPr>
                              <w:t xml:space="preserve"> will then inform the affected person of </w:t>
                            </w:r>
                            <w:r>
                              <w:rPr>
                                <w:rFonts w:asciiTheme="minorHAnsi" w:hAnsiTheme="minorHAnsi" w:cs="Arial"/>
                                <w:sz w:val="19"/>
                                <w:szCs w:val="19"/>
                              </w:rPr>
                              <w:t>their</w:t>
                            </w:r>
                            <w:r w:rsidRPr="001C45C2">
                              <w:rPr>
                                <w:rFonts w:asciiTheme="minorHAnsi" w:hAnsiTheme="minorHAnsi" w:cs="Arial"/>
                                <w:sz w:val="19"/>
                                <w:szCs w:val="19"/>
                              </w:rPr>
                              <w:t xml:space="preserve"> final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0;margin-top:0;width:288.65pt;height:1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" fillcolor="#eeece1 [3214]" stroked="f">
                <v:textbox>
                  <w:txbxContent>
                    <w:p w:rsidR="00DE7618" w:rsidRPr="001C45C2" w:rsidRDefault="00DE7618" w:rsidP="00DE7618">
                      <w:pPr>
                        <w:spacing w:line="216" w:lineRule="auto"/>
                        <w:jc w:val="both"/>
                        <w:rPr>
                          <w:rFonts w:asciiTheme="minorHAnsi" w:hAnsiTheme="minorHAnsi" w:cs="Arial"/>
                          <w:b/>
                          <w:sz w:val="19"/>
                          <w:szCs w:val="19"/>
                        </w:rPr>
                      </w:pPr>
                      <w:r w:rsidRPr="001C45C2">
                        <w:rPr>
                          <w:rFonts w:asciiTheme="minorHAnsi" w:hAnsiTheme="minorHAnsi" w:cs="Arial"/>
                          <w:b/>
                          <w:sz w:val="19"/>
                          <w:szCs w:val="19"/>
                        </w:rPr>
                        <w:t>Process to finalise cancellation of registration by the FSB:</w:t>
                      </w:r>
                    </w:p>
                    <w:p w:rsidR="00DE7618" w:rsidRPr="001C45C2" w:rsidRDefault="00DE7618" w:rsidP="00DE7618">
                      <w:pPr>
                        <w:pStyle w:val="NoSpacing"/>
                        <w:numPr>
                          <w:ilvl w:val="0"/>
                          <w:numId w:val="20"/>
                        </w:numPr>
                        <w:spacing w:line="216" w:lineRule="auto"/>
                        <w:jc w:val="both"/>
                        <w:rPr>
                          <w:sz w:val="19"/>
                          <w:szCs w:val="19"/>
                        </w:rPr>
                      </w:pPr>
                      <w:r w:rsidRPr="001C45C2">
                        <w:rPr>
                          <w:sz w:val="19"/>
                          <w:szCs w:val="19"/>
                        </w:rPr>
                        <w:t xml:space="preserve">Before </w:t>
                      </w:r>
                      <w:r>
                        <w:rPr>
                          <w:sz w:val="19"/>
                          <w:szCs w:val="19"/>
                        </w:rPr>
                        <w:t>finalising</w:t>
                      </w:r>
                      <w:r w:rsidRPr="001C45C2">
                        <w:rPr>
                          <w:sz w:val="19"/>
                          <w:szCs w:val="19"/>
                        </w:rPr>
                        <w:t xml:space="preserve"> the above</w:t>
                      </w:r>
                      <w:r>
                        <w:rPr>
                          <w:sz w:val="19"/>
                          <w:szCs w:val="19"/>
                        </w:rPr>
                        <w:t xml:space="preserve"> for both a stand-alone fund and a participating employer’s withdrawal from an umbrella fund, the Registrar will publish an </w:t>
                      </w:r>
                      <w:r w:rsidRPr="001C45C2">
                        <w:rPr>
                          <w:sz w:val="19"/>
                          <w:szCs w:val="19"/>
                        </w:rPr>
                        <w:t xml:space="preserve">intention of cancellation of registration </w:t>
                      </w:r>
                      <w:r>
                        <w:rPr>
                          <w:sz w:val="19"/>
                          <w:szCs w:val="19"/>
                        </w:rPr>
                        <w:t xml:space="preserve">notification </w:t>
                      </w:r>
                      <w:r w:rsidRPr="001C45C2">
                        <w:rPr>
                          <w:sz w:val="19"/>
                          <w:szCs w:val="19"/>
                        </w:rPr>
                        <w:t>as per the requirements of the Promotion of Administrative Justice Act, 2000 and on the FSB website, for a period of 30 days</w:t>
                      </w:r>
                    </w:p>
                    <w:p w:rsidR="00DE7618" w:rsidRPr="00F964F3" w:rsidRDefault="00DE7618" w:rsidP="00DE7618">
                      <w:pPr>
                        <w:pStyle w:val="NoSpacing"/>
                        <w:numPr>
                          <w:ilvl w:val="0"/>
                          <w:numId w:val="20"/>
                        </w:numPr>
                        <w:spacing w:line="216" w:lineRule="auto"/>
                        <w:jc w:val="both"/>
                        <w:rPr>
                          <w:rFonts w:asciiTheme="minorHAnsi" w:hAnsiTheme="minorHAnsi" w:cs="Arial"/>
                          <w:sz w:val="19"/>
                          <w:szCs w:val="19"/>
                        </w:rPr>
                      </w:pPr>
                      <w:r w:rsidRPr="00F964F3">
                        <w:rPr>
                          <w:sz w:val="19"/>
                          <w:szCs w:val="19"/>
                        </w:rPr>
                        <w:t xml:space="preserve">During this period, any affected person may lodge an objection to this process. Thereafter, the </w:t>
                      </w:r>
                      <w:r w:rsidRPr="00F964F3">
                        <w:rPr>
                          <w:sz w:val="19"/>
                          <w:szCs w:val="19"/>
                          <w:lang w:val="en-ZA"/>
                        </w:rPr>
                        <w:t xml:space="preserve">Registrar will make a decision as to </w:t>
                      </w:r>
                      <w:r w:rsidRPr="00F964F3">
                        <w:rPr>
                          <w:rFonts w:asciiTheme="minorHAnsi" w:hAnsiTheme="minorHAnsi" w:cs="Arial"/>
                          <w:sz w:val="19"/>
                          <w:szCs w:val="19"/>
                        </w:rPr>
                        <w:t>whether to proceed with the process</w:t>
                      </w:r>
                    </w:p>
                    <w:p w:rsidR="00DE7618" w:rsidRPr="001C45C2" w:rsidRDefault="00DE7618" w:rsidP="00DE7618">
                      <w:pPr>
                        <w:pStyle w:val="NoSpacing"/>
                        <w:numPr>
                          <w:ilvl w:val="0"/>
                          <w:numId w:val="20"/>
                        </w:numPr>
                        <w:spacing w:line="216" w:lineRule="auto"/>
                        <w:jc w:val="both"/>
                        <w:rPr>
                          <w:sz w:val="19"/>
                          <w:szCs w:val="19"/>
                        </w:rPr>
                      </w:pPr>
                      <w:r w:rsidRPr="001C45C2">
                        <w:rPr>
                          <w:sz w:val="19"/>
                          <w:szCs w:val="19"/>
                        </w:rPr>
                        <w:t xml:space="preserve">The </w:t>
                      </w:r>
                      <w:r>
                        <w:rPr>
                          <w:rFonts w:asciiTheme="minorHAnsi" w:hAnsiTheme="minorHAnsi" w:cs="Arial"/>
                          <w:sz w:val="19"/>
                          <w:szCs w:val="19"/>
                        </w:rPr>
                        <w:t>FSB</w:t>
                      </w:r>
                      <w:r w:rsidRPr="001C45C2">
                        <w:rPr>
                          <w:rFonts w:asciiTheme="minorHAnsi" w:hAnsiTheme="minorHAnsi" w:cs="Arial"/>
                          <w:sz w:val="19"/>
                          <w:szCs w:val="19"/>
                        </w:rPr>
                        <w:t xml:space="preserve"> will then inform the affected person of </w:t>
                      </w:r>
                      <w:r>
                        <w:rPr>
                          <w:rFonts w:asciiTheme="minorHAnsi" w:hAnsiTheme="minorHAnsi" w:cs="Arial"/>
                          <w:sz w:val="19"/>
                          <w:szCs w:val="19"/>
                        </w:rPr>
                        <w:t>their</w:t>
                      </w:r>
                      <w:r w:rsidRPr="001C45C2">
                        <w:rPr>
                          <w:rFonts w:asciiTheme="minorHAnsi" w:hAnsiTheme="minorHAnsi" w:cs="Arial"/>
                          <w:sz w:val="19"/>
                          <w:szCs w:val="19"/>
                        </w:rPr>
                        <w:t xml:space="preserve"> final decision.</w:t>
                      </w:r>
                    </w:p>
                  </w:txbxContent>
                </v:textbox>
              </v:shape>
            </w:pict>
          </mc:Fallback>
        </mc:AlternateContent>
      </w: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Default="00DE7618" w:rsidP="00DE7618">
      <w:pPr>
        <w:jc w:val="both"/>
        <w:rPr>
          <w:rFonts w:asciiTheme="minorHAnsi" w:hAnsiTheme="minorHAnsi" w:cs="Arial"/>
          <w:sz w:val="21"/>
          <w:szCs w:val="21"/>
        </w:rPr>
      </w:pPr>
    </w:p>
    <w:p w:rsidR="00DE7618" w:rsidRPr="00863B67" w:rsidRDefault="00DE7618" w:rsidP="00DE7618">
      <w:pPr>
        <w:pStyle w:val="NoSpacing"/>
        <w:numPr>
          <w:ilvl w:val="0"/>
          <w:numId w:val="19"/>
        </w:numPr>
        <w:jc w:val="both"/>
        <w:rPr>
          <w:rFonts w:asciiTheme="minorHAnsi" w:hAnsiTheme="minorHAnsi" w:cs="Arial"/>
          <w:b/>
          <w:sz w:val="24"/>
          <w:szCs w:val="26"/>
        </w:rPr>
      </w:pPr>
      <w:r w:rsidRPr="00863B67">
        <w:rPr>
          <w:rFonts w:asciiTheme="minorHAnsi" w:hAnsiTheme="minorHAnsi" w:cs="Arial"/>
          <w:b/>
          <w:sz w:val="24"/>
          <w:szCs w:val="26"/>
        </w:rPr>
        <w:t>Information Circular PF 3 of 2017: The appointment of persons to the Board of a Fund by the Registrar in terms of section 26 (2) of the Act</w:t>
      </w:r>
    </w:p>
    <w:p w:rsidR="00DE7618" w:rsidRPr="00A629B9" w:rsidRDefault="00DE7618" w:rsidP="00DE7618">
      <w:pPr>
        <w:pStyle w:val="NoSpacing"/>
        <w:jc w:val="both"/>
        <w:rPr>
          <w:rFonts w:asciiTheme="minorHAnsi" w:hAnsiTheme="minorHAnsi" w:cs="Arial"/>
          <w:sz w:val="20"/>
          <w:szCs w:val="20"/>
        </w:rPr>
      </w:pPr>
    </w:p>
    <w:p w:rsidR="00DE7618" w:rsidRPr="00A629B9" w:rsidRDefault="00DE7618" w:rsidP="00DE7618">
      <w:pPr>
        <w:pStyle w:val="NoSpacing"/>
        <w:jc w:val="both"/>
        <w:rPr>
          <w:rFonts w:asciiTheme="minorHAnsi" w:hAnsiTheme="minorHAnsi" w:cs="Arial"/>
          <w:b/>
          <w:bCs/>
          <w:sz w:val="20"/>
          <w:szCs w:val="20"/>
          <w:lang w:val="en-ZA"/>
        </w:rPr>
      </w:pPr>
      <w:r w:rsidRPr="00A629B9">
        <w:rPr>
          <w:rFonts w:asciiTheme="minorHAnsi" w:hAnsiTheme="minorHAnsi" w:cs="Arial"/>
          <w:sz w:val="20"/>
          <w:szCs w:val="20"/>
          <w:lang w:val="en-ZA"/>
        </w:rPr>
        <w:t xml:space="preserve">Information Circular 3 of 2017 was issued </w:t>
      </w:r>
      <w:r>
        <w:rPr>
          <w:rFonts w:asciiTheme="minorHAnsi" w:hAnsiTheme="minorHAnsi" w:cs="Arial"/>
          <w:sz w:val="20"/>
          <w:szCs w:val="20"/>
          <w:lang w:val="en-ZA"/>
        </w:rPr>
        <w:t xml:space="preserve">by the FSB </w:t>
      </w:r>
      <w:r w:rsidRPr="00A629B9">
        <w:rPr>
          <w:rFonts w:asciiTheme="minorHAnsi" w:hAnsiTheme="minorHAnsi" w:cs="Arial"/>
          <w:sz w:val="20"/>
          <w:szCs w:val="20"/>
          <w:lang w:val="en-ZA"/>
        </w:rPr>
        <w:t xml:space="preserve">on </w:t>
      </w:r>
      <w:r w:rsidRPr="00A629B9">
        <w:rPr>
          <w:rFonts w:asciiTheme="minorHAnsi" w:hAnsiTheme="minorHAnsi" w:cs="Arial"/>
          <w:sz w:val="20"/>
          <w:szCs w:val="20"/>
        </w:rPr>
        <w:t xml:space="preserve">6 July 2017. </w:t>
      </w:r>
      <w:r w:rsidRPr="00A629B9">
        <w:rPr>
          <w:rFonts w:asciiTheme="minorHAnsi" w:hAnsiTheme="minorHAnsi" w:cs="Arial"/>
          <w:sz w:val="20"/>
          <w:szCs w:val="20"/>
          <w:lang w:val="en-ZA"/>
        </w:rPr>
        <w:t>Section 26(2) of the Act</w:t>
      </w:r>
      <w:r>
        <w:rPr>
          <w:rFonts w:asciiTheme="minorHAnsi" w:hAnsiTheme="minorHAnsi" w:cs="Arial"/>
          <w:sz w:val="20"/>
          <w:szCs w:val="20"/>
          <w:lang w:val="en-ZA"/>
        </w:rPr>
        <w:t xml:space="preserve"> allows</w:t>
      </w:r>
      <w:r w:rsidRPr="00A629B9">
        <w:rPr>
          <w:rFonts w:asciiTheme="minorHAnsi" w:hAnsiTheme="minorHAnsi" w:cs="Arial"/>
          <w:sz w:val="20"/>
          <w:szCs w:val="20"/>
          <w:lang w:val="en-ZA"/>
        </w:rPr>
        <w:t xml:space="preserve"> the FSB to appoint board members where funds are not properly constituted. Two previous circulars were issued by the FSB </w:t>
      </w:r>
      <w:r>
        <w:rPr>
          <w:rFonts w:asciiTheme="minorHAnsi" w:hAnsiTheme="minorHAnsi" w:cs="Arial"/>
          <w:sz w:val="20"/>
          <w:szCs w:val="20"/>
          <w:lang w:val="en-ZA"/>
        </w:rPr>
        <w:t>on</w:t>
      </w:r>
      <w:r w:rsidRPr="00A629B9">
        <w:rPr>
          <w:rFonts w:asciiTheme="minorHAnsi" w:hAnsiTheme="minorHAnsi" w:cs="Arial"/>
          <w:sz w:val="20"/>
          <w:szCs w:val="20"/>
          <w:lang w:val="en-ZA"/>
        </w:rPr>
        <w:t xml:space="preserve"> this matter</w:t>
      </w:r>
      <w:r>
        <w:rPr>
          <w:rFonts w:asciiTheme="minorHAnsi" w:hAnsiTheme="minorHAnsi" w:cs="Arial"/>
          <w:sz w:val="20"/>
          <w:szCs w:val="20"/>
          <w:lang w:val="en-ZA"/>
        </w:rPr>
        <w:t>:</w:t>
      </w:r>
      <w:r w:rsidRPr="00A629B9">
        <w:rPr>
          <w:rFonts w:asciiTheme="minorHAnsi" w:hAnsiTheme="minorHAnsi" w:cs="Arial"/>
          <w:sz w:val="20"/>
          <w:szCs w:val="20"/>
          <w:lang w:val="en-ZA"/>
        </w:rPr>
        <w:t xml:space="preserve"> Notice 3 of 2016 and </w:t>
      </w:r>
      <w:r w:rsidRPr="00A629B9">
        <w:rPr>
          <w:rFonts w:asciiTheme="minorHAnsi" w:hAnsiTheme="minorHAnsi" w:cs="Arial"/>
          <w:bCs/>
          <w:sz w:val="20"/>
          <w:szCs w:val="20"/>
          <w:lang w:val="en-ZA"/>
        </w:rPr>
        <w:t>Information Circular 3 of 2016</w:t>
      </w:r>
      <w:r w:rsidRPr="00A629B9">
        <w:rPr>
          <w:rFonts w:asciiTheme="minorHAnsi" w:hAnsiTheme="minorHAnsi" w:cs="Arial"/>
          <w:b/>
          <w:bCs/>
          <w:sz w:val="20"/>
          <w:szCs w:val="20"/>
          <w:lang w:val="en-ZA"/>
        </w:rPr>
        <w:t>.</w:t>
      </w:r>
    </w:p>
    <w:p w:rsidR="00DE7618" w:rsidRDefault="00DE7618" w:rsidP="00DE7618">
      <w:pPr>
        <w:pStyle w:val="NoSpacing"/>
        <w:jc w:val="both"/>
        <w:rPr>
          <w:rFonts w:asciiTheme="minorHAnsi" w:hAnsiTheme="minorHAnsi" w:cs="Arial"/>
          <w:sz w:val="20"/>
          <w:szCs w:val="20"/>
          <w:lang w:val="en-ZA"/>
        </w:rPr>
      </w:pPr>
    </w:p>
    <w:p w:rsidR="00DE7618" w:rsidRDefault="00A24C53" w:rsidP="00DE7618">
      <w:pPr>
        <w:pStyle w:val="NoSpacing"/>
        <w:jc w:val="both"/>
        <w:rPr>
          <w:rFonts w:asciiTheme="minorHAnsi" w:hAnsiTheme="minorHAnsi" w:cs="Arial"/>
          <w:sz w:val="20"/>
          <w:szCs w:val="20"/>
          <w:lang w:val="en-ZA"/>
        </w:rPr>
      </w:pPr>
      <w:r>
        <w:rPr>
          <w:noProof/>
          <w:lang w:val="en-ZA" w:eastAsia="en-ZA"/>
        </w:rPr>
        <mc:AlternateContent>
          <mc:Choice Requires="wps">
            <w:drawing>
              <wp:anchor distT="0" distB="0" distL="114300" distR="114300" simplePos="0" relativeHeight="251702272" behindDoc="0" locked="0" layoutInCell="1" allowOverlap="1">
                <wp:simplePos x="0" y="0"/>
                <wp:positionH relativeFrom="column">
                  <wp:posOffset>1608455</wp:posOffset>
                </wp:positionH>
                <wp:positionV relativeFrom="paragraph">
                  <wp:posOffset>0</wp:posOffset>
                </wp:positionV>
                <wp:extent cx="3721100" cy="1167130"/>
                <wp:effectExtent l="0" t="635" r="0" b="381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16713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DE7618">
                            <w:pPr>
                              <w:pStyle w:val="NoSpacing"/>
                              <w:spacing w:line="216" w:lineRule="auto"/>
                              <w:jc w:val="both"/>
                              <w:rPr>
                                <w:rFonts w:asciiTheme="minorHAnsi" w:hAnsiTheme="minorHAnsi" w:cs="Arial"/>
                                <w:b/>
                                <w:sz w:val="19"/>
                                <w:szCs w:val="19"/>
                                <w:lang w:val="en-ZA"/>
                              </w:rPr>
                            </w:pPr>
                            <w:r w:rsidRPr="001C45C2">
                              <w:rPr>
                                <w:rFonts w:asciiTheme="minorHAnsi" w:hAnsiTheme="minorHAnsi" w:cs="Arial"/>
                                <w:b/>
                                <w:sz w:val="19"/>
                                <w:szCs w:val="19"/>
                                <w:lang w:val="en-ZA"/>
                              </w:rPr>
                              <w:t xml:space="preserve">Notice 3 of 2016 and </w:t>
                            </w:r>
                            <w:r w:rsidRPr="001C45C2">
                              <w:rPr>
                                <w:rFonts w:asciiTheme="minorHAnsi" w:hAnsiTheme="minorHAnsi" w:cs="Arial"/>
                                <w:b/>
                                <w:bCs/>
                                <w:sz w:val="19"/>
                                <w:szCs w:val="19"/>
                                <w:lang w:val="en-ZA"/>
                              </w:rPr>
                              <w:t>Information Circular 3 of 2016</w:t>
                            </w:r>
                          </w:p>
                          <w:p w:rsidR="00DE7618" w:rsidRPr="001C45C2" w:rsidRDefault="00DE7618" w:rsidP="00DE7618">
                            <w:pPr>
                              <w:pStyle w:val="NoSpacing"/>
                              <w:spacing w:line="216" w:lineRule="auto"/>
                              <w:jc w:val="both"/>
                              <w:rPr>
                                <w:rFonts w:cs="Arial"/>
                                <w:sz w:val="19"/>
                                <w:szCs w:val="19"/>
                              </w:rPr>
                            </w:pPr>
                            <w:r w:rsidRPr="001C45C2">
                              <w:rPr>
                                <w:rFonts w:asciiTheme="minorHAnsi" w:hAnsiTheme="minorHAnsi" w:cs="Arial"/>
                                <w:sz w:val="19"/>
                                <w:szCs w:val="19"/>
                                <w:lang w:val="en-ZA"/>
                              </w:rPr>
                              <w:t xml:space="preserve">These notices state that any vacancy on a board must be filled within 90 days from the date on which the position became vacant. They also deal with the legitimacy of decisions made by boards which are not properly constituted. During this 90 day period when there is a board vacancy, the fund must continue to comply with the Act, </w:t>
                            </w:r>
                            <w:r>
                              <w:rPr>
                                <w:rFonts w:asciiTheme="minorHAnsi" w:hAnsiTheme="minorHAnsi" w:cs="Arial"/>
                                <w:sz w:val="19"/>
                                <w:szCs w:val="19"/>
                                <w:lang w:val="en-ZA"/>
                              </w:rPr>
                              <w:t xml:space="preserve">the board </w:t>
                            </w:r>
                            <w:r w:rsidRPr="001C45C2">
                              <w:rPr>
                                <w:rFonts w:asciiTheme="minorHAnsi" w:hAnsiTheme="minorHAnsi" w:cs="Arial"/>
                                <w:sz w:val="19"/>
                                <w:szCs w:val="19"/>
                                <w:lang w:val="en-ZA"/>
                              </w:rPr>
                              <w:t xml:space="preserve">must </w:t>
                            </w:r>
                            <w:r>
                              <w:rPr>
                                <w:rFonts w:asciiTheme="minorHAnsi" w:hAnsiTheme="minorHAnsi" w:cs="Arial"/>
                                <w:sz w:val="19"/>
                                <w:szCs w:val="19"/>
                                <w:lang w:val="en-ZA"/>
                              </w:rPr>
                              <w:t>make</w:t>
                            </w:r>
                            <w:r w:rsidRPr="001C45C2">
                              <w:rPr>
                                <w:rFonts w:asciiTheme="minorHAnsi" w:hAnsiTheme="minorHAnsi" w:cs="Arial"/>
                                <w:sz w:val="19"/>
                                <w:szCs w:val="19"/>
                                <w:lang w:val="en-ZA"/>
                              </w:rPr>
                              <w:t xml:space="preserve"> decision</w:t>
                            </w:r>
                            <w:r>
                              <w:rPr>
                                <w:rFonts w:asciiTheme="minorHAnsi" w:hAnsiTheme="minorHAnsi" w:cs="Arial"/>
                                <w:sz w:val="19"/>
                                <w:szCs w:val="19"/>
                                <w:lang w:val="en-ZA"/>
                              </w:rPr>
                              <w:t>s during this time</w:t>
                            </w:r>
                            <w:r w:rsidRPr="001C45C2">
                              <w:rPr>
                                <w:rFonts w:asciiTheme="minorHAnsi" w:hAnsiTheme="minorHAnsi" w:cs="Arial"/>
                                <w:sz w:val="19"/>
                                <w:szCs w:val="19"/>
                                <w:lang w:val="en-ZA"/>
                              </w:rPr>
                              <w:t xml:space="preserve"> </w:t>
                            </w:r>
                            <w:r>
                              <w:rPr>
                                <w:rFonts w:asciiTheme="minorHAnsi" w:hAnsiTheme="minorHAnsi" w:cs="Arial"/>
                                <w:sz w:val="19"/>
                                <w:szCs w:val="19"/>
                                <w:lang w:val="en-ZA"/>
                              </w:rPr>
                              <w:t xml:space="preserve">in accordance with </w:t>
                            </w:r>
                            <w:r w:rsidRPr="001C45C2">
                              <w:rPr>
                                <w:rFonts w:asciiTheme="minorHAnsi" w:hAnsiTheme="minorHAnsi" w:cs="Arial"/>
                                <w:sz w:val="19"/>
                                <w:szCs w:val="19"/>
                                <w:lang w:val="en-ZA"/>
                              </w:rPr>
                              <w:t xml:space="preserve">the rules of the fund </w:t>
                            </w:r>
                            <w:r>
                              <w:rPr>
                                <w:rFonts w:asciiTheme="minorHAnsi" w:hAnsiTheme="minorHAnsi" w:cs="Arial"/>
                                <w:sz w:val="19"/>
                                <w:szCs w:val="19"/>
                                <w:lang w:val="en-ZA"/>
                              </w:rPr>
                              <w:t xml:space="preserve">in order </w:t>
                            </w:r>
                            <w:r w:rsidRPr="001C45C2">
                              <w:rPr>
                                <w:rFonts w:asciiTheme="minorHAnsi" w:hAnsiTheme="minorHAnsi" w:cs="Arial"/>
                                <w:sz w:val="19"/>
                                <w:szCs w:val="19"/>
                                <w:lang w:val="en-ZA"/>
                              </w:rPr>
                              <w:t>to be valid</w:t>
                            </w:r>
                            <w:r>
                              <w:rPr>
                                <w:rFonts w:asciiTheme="minorHAnsi" w:hAnsiTheme="minorHAnsi" w:cs="Arial"/>
                                <w:sz w:val="19"/>
                                <w:szCs w:val="19"/>
                                <w:lang w:val="en-ZA"/>
                              </w:rPr>
                              <w:t>,</w:t>
                            </w:r>
                            <w:r w:rsidRPr="001C45C2">
                              <w:rPr>
                                <w:rFonts w:asciiTheme="minorHAnsi" w:hAnsiTheme="minorHAnsi" w:cs="Arial"/>
                                <w:sz w:val="19"/>
                                <w:szCs w:val="19"/>
                                <w:lang w:val="en-ZA"/>
                              </w:rPr>
                              <w:t xml:space="preserve"> and a </w:t>
                            </w:r>
                            <w:r>
                              <w:rPr>
                                <w:rFonts w:asciiTheme="minorHAnsi" w:hAnsiTheme="minorHAnsi" w:cs="Arial"/>
                                <w:sz w:val="19"/>
                                <w:szCs w:val="19"/>
                                <w:lang w:val="en-ZA"/>
                              </w:rPr>
                              <w:t>b</w:t>
                            </w:r>
                            <w:r w:rsidRPr="001C45C2">
                              <w:rPr>
                                <w:rFonts w:asciiTheme="minorHAnsi" w:hAnsiTheme="minorHAnsi" w:cs="Arial"/>
                                <w:sz w:val="19"/>
                                <w:szCs w:val="19"/>
                                <w:lang w:val="en-ZA"/>
                              </w:rPr>
                              <w:t>oard quorum must be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126.65pt;margin-top:0;width:293pt;height:9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" fillcolor="#f2f2f2 [3052]" stroked="f">
                <v:textbox>
                  <w:txbxContent>
                    <w:p w:rsidR="00DE7618" w:rsidRPr="001C45C2" w:rsidRDefault="00DE7618" w:rsidP="00DE7618">
                      <w:pPr>
                        <w:pStyle w:val="NoSpacing"/>
                        <w:spacing w:line="216" w:lineRule="auto"/>
                        <w:jc w:val="both"/>
                        <w:rPr>
                          <w:rFonts w:asciiTheme="minorHAnsi" w:hAnsiTheme="minorHAnsi" w:cs="Arial"/>
                          <w:b/>
                          <w:sz w:val="19"/>
                          <w:szCs w:val="19"/>
                          <w:lang w:val="en-ZA"/>
                        </w:rPr>
                      </w:pPr>
                      <w:r w:rsidRPr="001C45C2">
                        <w:rPr>
                          <w:rFonts w:asciiTheme="minorHAnsi" w:hAnsiTheme="minorHAnsi" w:cs="Arial"/>
                          <w:b/>
                          <w:sz w:val="19"/>
                          <w:szCs w:val="19"/>
                          <w:lang w:val="en-ZA"/>
                        </w:rPr>
                        <w:t xml:space="preserve">Notice 3 of 2016 and </w:t>
                      </w:r>
                      <w:r w:rsidRPr="001C45C2">
                        <w:rPr>
                          <w:rFonts w:asciiTheme="minorHAnsi" w:hAnsiTheme="minorHAnsi" w:cs="Arial"/>
                          <w:b/>
                          <w:bCs/>
                          <w:sz w:val="19"/>
                          <w:szCs w:val="19"/>
                          <w:lang w:val="en-ZA"/>
                        </w:rPr>
                        <w:t>Information Circular 3 of 2016</w:t>
                      </w:r>
                    </w:p>
                    <w:p w:rsidR="00DE7618" w:rsidRPr="001C45C2" w:rsidRDefault="00DE7618" w:rsidP="00DE7618">
                      <w:pPr>
                        <w:pStyle w:val="NoSpacing"/>
                        <w:spacing w:line="216" w:lineRule="auto"/>
                        <w:jc w:val="both"/>
                        <w:rPr>
                          <w:rFonts w:cs="Arial"/>
                          <w:sz w:val="19"/>
                          <w:szCs w:val="19"/>
                        </w:rPr>
                      </w:pPr>
                      <w:r w:rsidRPr="001C45C2">
                        <w:rPr>
                          <w:rFonts w:asciiTheme="minorHAnsi" w:hAnsiTheme="minorHAnsi" w:cs="Arial"/>
                          <w:sz w:val="19"/>
                          <w:szCs w:val="19"/>
                          <w:lang w:val="en-ZA"/>
                        </w:rPr>
                        <w:t xml:space="preserve">These notices state that any vacancy on a board must be filled within 90 days from the date on which the position became vacant. They also deal with the legitimacy of decisions made by boards which are not properly constituted. During this 90 day period when there is a board vacancy, the fund must continue to comply with the Act, </w:t>
                      </w:r>
                      <w:r>
                        <w:rPr>
                          <w:rFonts w:asciiTheme="minorHAnsi" w:hAnsiTheme="minorHAnsi" w:cs="Arial"/>
                          <w:sz w:val="19"/>
                          <w:szCs w:val="19"/>
                          <w:lang w:val="en-ZA"/>
                        </w:rPr>
                        <w:t xml:space="preserve">the board </w:t>
                      </w:r>
                      <w:r w:rsidRPr="001C45C2">
                        <w:rPr>
                          <w:rFonts w:asciiTheme="minorHAnsi" w:hAnsiTheme="minorHAnsi" w:cs="Arial"/>
                          <w:sz w:val="19"/>
                          <w:szCs w:val="19"/>
                          <w:lang w:val="en-ZA"/>
                        </w:rPr>
                        <w:t xml:space="preserve">must </w:t>
                      </w:r>
                      <w:r>
                        <w:rPr>
                          <w:rFonts w:asciiTheme="minorHAnsi" w:hAnsiTheme="minorHAnsi" w:cs="Arial"/>
                          <w:sz w:val="19"/>
                          <w:szCs w:val="19"/>
                          <w:lang w:val="en-ZA"/>
                        </w:rPr>
                        <w:t>make</w:t>
                      </w:r>
                      <w:r w:rsidRPr="001C45C2">
                        <w:rPr>
                          <w:rFonts w:asciiTheme="minorHAnsi" w:hAnsiTheme="minorHAnsi" w:cs="Arial"/>
                          <w:sz w:val="19"/>
                          <w:szCs w:val="19"/>
                          <w:lang w:val="en-ZA"/>
                        </w:rPr>
                        <w:t xml:space="preserve"> decision</w:t>
                      </w:r>
                      <w:r>
                        <w:rPr>
                          <w:rFonts w:asciiTheme="minorHAnsi" w:hAnsiTheme="minorHAnsi" w:cs="Arial"/>
                          <w:sz w:val="19"/>
                          <w:szCs w:val="19"/>
                          <w:lang w:val="en-ZA"/>
                        </w:rPr>
                        <w:t>s during this time</w:t>
                      </w:r>
                      <w:r w:rsidRPr="001C45C2">
                        <w:rPr>
                          <w:rFonts w:asciiTheme="minorHAnsi" w:hAnsiTheme="minorHAnsi" w:cs="Arial"/>
                          <w:sz w:val="19"/>
                          <w:szCs w:val="19"/>
                          <w:lang w:val="en-ZA"/>
                        </w:rPr>
                        <w:t xml:space="preserve"> </w:t>
                      </w:r>
                      <w:r>
                        <w:rPr>
                          <w:rFonts w:asciiTheme="minorHAnsi" w:hAnsiTheme="minorHAnsi" w:cs="Arial"/>
                          <w:sz w:val="19"/>
                          <w:szCs w:val="19"/>
                          <w:lang w:val="en-ZA"/>
                        </w:rPr>
                        <w:t xml:space="preserve">in accordance with </w:t>
                      </w:r>
                      <w:r w:rsidRPr="001C45C2">
                        <w:rPr>
                          <w:rFonts w:asciiTheme="minorHAnsi" w:hAnsiTheme="minorHAnsi" w:cs="Arial"/>
                          <w:sz w:val="19"/>
                          <w:szCs w:val="19"/>
                          <w:lang w:val="en-ZA"/>
                        </w:rPr>
                        <w:t xml:space="preserve">the rules of the fund </w:t>
                      </w:r>
                      <w:r>
                        <w:rPr>
                          <w:rFonts w:asciiTheme="minorHAnsi" w:hAnsiTheme="minorHAnsi" w:cs="Arial"/>
                          <w:sz w:val="19"/>
                          <w:szCs w:val="19"/>
                          <w:lang w:val="en-ZA"/>
                        </w:rPr>
                        <w:t xml:space="preserve">in order </w:t>
                      </w:r>
                      <w:r w:rsidRPr="001C45C2">
                        <w:rPr>
                          <w:rFonts w:asciiTheme="minorHAnsi" w:hAnsiTheme="minorHAnsi" w:cs="Arial"/>
                          <w:sz w:val="19"/>
                          <w:szCs w:val="19"/>
                          <w:lang w:val="en-ZA"/>
                        </w:rPr>
                        <w:t>to be valid</w:t>
                      </w:r>
                      <w:r>
                        <w:rPr>
                          <w:rFonts w:asciiTheme="minorHAnsi" w:hAnsiTheme="minorHAnsi" w:cs="Arial"/>
                          <w:sz w:val="19"/>
                          <w:szCs w:val="19"/>
                          <w:lang w:val="en-ZA"/>
                        </w:rPr>
                        <w:t>,</w:t>
                      </w:r>
                      <w:r w:rsidRPr="001C45C2">
                        <w:rPr>
                          <w:rFonts w:asciiTheme="minorHAnsi" w:hAnsiTheme="minorHAnsi" w:cs="Arial"/>
                          <w:sz w:val="19"/>
                          <w:szCs w:val="19"/>
                          <w:lang w:val="en-ZA"/>
                        </w:rPr>
                        <w:t xml:space="preserve"> and a </w:t>
                      </w:r>
                      <w:r>
                        <w:rPr>
                          <w:rFonts w:asciiTheme="minorHAnsi" w:hAnsiTheme="minorHAnsi" w:cs="Arial"/>
                          <w:sz w:val="19"/>
                          <w:szCs w:val="19"/>
                          <w:lang w:val="en-ZA"/>
                        </w:rPr>
                        <w:t>b</w:t>
                      </w:r>
                      <w:r w:rsidRPr="001C45C2">
                        <w:rPr>
                          <w:rFonts w:asciiTheme="minorHAnsi" w:hAnsiTheme="minorHAnsi" w:cs="Arial"/>
                          <w:sz w:val="19"/>
                          <w:szCs w:val="19"/>
                          <w:lang w:val="en-ZA"/>
                        </w:rPr>
                        <w:t>oard quorum must be present.</w:t>
                      </w:r>
                    </w:p>
                  </w:txbxContent>
                </v:textbox>
              </v:shape>
            </w:pict>
          </mc:Fallback>
        </mc:AlternateContent>
      </w:r>
      <w:r>
        <w:rPr>
          <w:noProof/>
          <w:lang w:val="en-ZA" w:eastAsia="en-ZA"/>
        </w:rPr>
        <mc:AlternateContent>
          <mc:Choice Requires="wps">
            <w:drawing>
              <wp:anchor distT="0" distB="0" distL="114300" distR="114300" simplePos="0" relativeHeight="251701248" behindDoc="0" locked="0" layoutInCell="1" allowOverlap="1">
                <wp:simplePos x="0" y="0"/>
                <wp:positionH relativeFrom="column">
                  <wp:posOffset>31750</wp:posOffset>
                </wp:positionH>
                <wp:positionV relativeFrom="paragraph">
                  <wp:posOffset>0</wp:posOffset>
                </wp:positionV>
                <wp:extent cx="1621155" cy="1167130"/>
                <wp:effectExtent l="1270" t="635" r="0" b="381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167130"/>
                        </a:xfrm>
                        <a:prstGeom prst="rect">
                          <a:avLst/>
                        </a:prstGeom>
                        <a:solidFill>
                          <a:srgbClr val="C412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341EB4" w:rsidRDefault="00DE7618" w:rsidP="00DE7618">
                            <w:pPr>
                              <w:pStyle w:val="NoSpacing"/>
                              <w:spacing w:line="221" w:lineRule="auto"/>
                              <w:jc w:val="both"/>
                              <w:rPr>
                                <w:rFonts w:asciiTheme="minorHAnsi" w:hAnsiTheme="minorHAnsi" w:cs="Arial"/>
                                <w:b/>
                                <w:bCs/>
                                <w:color w:val="FFFFFF" w:themeColor="background1"/>
                                <w:sz w:val="19"/>
                                <w:szCs w:val="19"/>
                                <w:lang w:val="en-ZA"/>
                              </w:rPr>
                            </w:pPr>
                            <w:r w:rsidRPr="00341EB4">
                              <w:rPr>
                                <w:rFonts w:asciiTheme="minorHAnsi" w:hAnsiTheme="minorHAnsi" w:cs="Arial"/>
                                <w:b/>
                                <w:bCs/>
                                <w:color w:val="FFFFFF" w:themeColor="background1"/>
                                <w:sz w:val="19"/>
                                <w:szCs w:val="19"/>
                                <w:lang w:val="en-ZA"/>
                              </w:rPr>
                              <w:t xml:space="preserve">Section </w:t>
                            </w:r>
                            <w:r w:rsidRPr="00341EB4">
                              <w:rPr>
                                <w:rFonts w:asciiTheme="minorHAnsi" w:hAnsiTheme="minorHAnsi" w:cs="Arial"/>
                                <w:b/>
                                <w:color w:val="FFFFFF" w:themeColor="background1"/>
                                <w:sz w:val="19"/>
                                <w:szCs w:val="19"/>
                                <w:lang w:val="en-ZA"/>
                              </w:rPr>
                              <w:t>26(2) of the Act</w:t>
                            </w:r>
                          </w:p>
                          <w:p w:rsidR="00DE7618" w:rsidRPr="00341EB4" w:rsidRDefault="00DE7618" w:rsidP="00DE7618">
                            <w:pPr>
                              <w:pStyle w:val="NoSpacing"/>
                              <w:spacing w:line="221" w:lineRule="auto"/>
                              <w:jc w:val="both"/>
                              <w:rPr>
                                <w:rFonts w:cs="Arial"/>
                                <w:color w:val="FFFFFF" w:themeColor="background1"/>
                                <w:sz w:val="19"/>
                                <w:szCs w:val="19"/>
                              </w:rPr>
                            </w:pPr>
                            <w:r w:rsidRPr="00341EB4">
                              <w:rPr>
                                <w:rFonts w:asciiTheme="minorHAnsi" w:hAnsiTheme="minorHAnsi" w:cs="Arial"/>
                                <w:color w:val="FFFFFF" w:themeColor="background1"/>
                                <w:sz w:val="19"/>
                                <w:szCs w:val="19"/>
                                <w:lang w:val="en-ZA"/>
                              </w:rPr>
                              <w:t>This provision allows for FSB board member replacement and empowers the FSB to assign such duties as deemed beneficial to the board appointed in terms of section 26(2)(a) of the PFA.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2.5pt;margin-top:0;width:127.65pt;height:9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" fillcolor="#c41226" stroked="f">
                <v:textbox>
                  <w:txbxContent>
                    <w:p w:rsidR="00DE7618" w:rsidRPr="00341EB4" w:rsidRDefault="00DE7618" w:rsidP="00DE7618">
                      <w:pPr>
                        <w:pStyle w:val="NoSpacing"/>
                        <w:spacing w:line="221" w:lineRule="auto"/>
                        <w:jc w:val="both"/>
                        <w:rPr>
                          <w:rFonts w:asciiTheme="minorHAnsi" w:hAnsiTheme="minorHAnsi" w:cs="Arial"/>
                          <w:b/>
                          <w:bCs/>
                          <w:color w:val="FFFFFF" w:themeColor="background1"/>
                          <w:sz w:val="19"/>
                          <w:szCs w:val="19"/>
                          <w:lang w:val="en-ZA"/>
                        </w:rPr>
                      </w:pPr>
                      <w:r w:rsidRPr="00341EB4">
                        <w:rPr>
                          <w:rFonts w:asciiTheme="minorHAnsi" w:hAnsiTheme="minorHAnsi" w:cs="Arial"/>
                          <w:b/>
                          <w:bCs/>
                          <w:color w:val="FFFFFF" w:themeColor="background1"/>
                          <w:sz w:val="19"/>
                          <w:szCs w:val="19"/>
                          <w:lang w:val="en-ZA"/>
                        </w:rPr>
                        <w:t xml:space="preserve">Section </w:t>
                      </w:r>
                      <w:r w:rsidRPr="00341EB4">
                        <w:rPr>
                          <w:rFonts w:asciiTheme="minorHAnsi" w:hAnsiTheme="minorHAnsi" w:cs="Arial"/>
                          <w:b/>
                          <w:color w:val="FFFFFF" w:themeColor="background1"/>
                          <w:sz w:val="19"/>
                          <w:szCs w:val="19"/>
                          <w:lang w:val="en-ZA"/>
                        </w:rPr>
                        <w:t>26(2) of the Act</w:t>
                      </w:r>
                    </w:p>
                    <w:p w:rsidR="00DE7618" w:rsidRPr="00341EB4" w:rsidRDefault="00DE7618" w:rsidP="00DE7618">
                      <w:pPr>
                        <w:pStyle w:val="NoSpacing"/>
                        <w:spacing w:line="221" w:lineRule="auto"/>
                        <w:jc w:val="both"/>
                        <w:rPr>
                          <w:rFonts w:cs="Arial"/>
                          <w:color w:val="FFFFFF" w:themeColor="background1"/>
                          <w:sz w:val="19"/>
                          <w:szCs w:val="19"/>
                        </w:rPr>
                      </w:pPr>
                      <w:r w:rsidRPr="00341EB4">
                        <w:rPr>
                          <w:rFonts w:asciiTheme="minorHAnsi" w:hAnsiTheme="minorHAnsi" w:cs="Arial"/>
                          <w:color w:val="FFFFFF" w:themeColor="background1"/>
                          <w:sz w:val="19"/>
                          <w:szCs w:val="19"/>
                          <w:lang w:val="en-ZA"/>
                        </w:rPr>
                        <w:t>This provision allows for FSB board member replacement and empowers the FSB to assign such duties as deemed beneficial to the board appointed in terms of section 26(2)(a) of the PFA.</w:t>
                      </w:r>
                    </w:p>
                  </w:txbxContent>
                </v:textbox>
              </v:shape>
            </w:pict>
          </mc:Fallback>
        </mc:AlternateContent>
      </w:r>
    </w:p>
    <w:p w:rsidR="00DE7618" w:rsidRDefault="00DE7618" w:rsidP="00DE7618">
      <w:pPr>
        <w:pStyle w:val="NoSpacing"/>
        <w:jc w:val="both"/>
        <w:rPr>
          <w:rFonts w:asciiTheme="minorHAnsi" w:hAnsiTheme="minorHAnsi" w:cs="Arial"/>
          <w:sz w:val="20"/>
          <w:szCs w:val="20"/>
          <w:lang w:val="en-ZA"/>
        </w:rPr>
      </w:pPr>
    </w:p>
    <w:p w:rsidR="00DE7618" w:rsidRDefault="00DE7618" w:rsidP="00DE7618">
      <w:pPr>
        <w:pStyle w:val="NoSpacing"/>
        <w:jc w:val="both"/>
        <w:rPr>
          <w:rFonts w:asciiTheme="minorHAnsi" w:hAnsiTheme="minorHAnsi" w:cs="Arial"/>
          <w:sz w:val="20"/>
          <w:szCs w:val="20"/>
          <w:lang w:val="en-ZA"/>
        </w:rPr>
      </w:pPr>
    </w:p>
    <w:p w:rsidR="00DE7618" w:rsidRDefault="00DE7618" w:rsidP="00DE7618">
      <w:pPr>
        <w:pStyle w:val="NoSpacing"/>
        <w:jc w:val="both"/>
        <w:rPr>
          <w:rFonts w:asciiTheme="minorHAnsi" w:hAnsiTheme="minorHAnsi" w:cs="Arial"/>
          <w:sz w:val="20"/>
          <w:szCs w:val="20"/>
          <w:lang w:val="en-ZA"/>
        </w:rPr>
      </w:pPr>
    </w:p>
    <w:p w:rsidR="00DE7618" w:rsidRDefault="00DE7618" w:rsidP="00DE7618">
      <w:pPr>
        <w:pStyle w:val="NoSpacing"/>
        <w:jc w:val="both"/>
        <w:rPr>
          <w:rFonts w:asciiTheme="minorHAnsi" w:hAnsiTheme="minorHAnsi" w:cs="Arial"/>
          <w:sz w:val="20"/>
          <w:szCs w:val="20"/>
          <w:lang w:val="en-ZA"/>
        </w:rPr>
      </w:pPr>
    </w:p>
    <w:p w:rsidR="00DE7618" w:rsidRDefault="00DE7618" w:rsidP="00DE7618">
      <w:pPr>
        <w:pStyle w:val="NoSpacing"/>
        <w:jc w:val="both"/>
        <w:rPr>
          <w:rFonts w:asciiTheme="minorHAnsi" w:hAnsiTheme="minorHAnsi" w:cs="Arial"/>
          <w:sz w:val="20"/>
          <w:szCs w:val="20"/>
          <w:lang w:val="en-ZA"/>
        </w:rPr>
      </w:pPr>
    </w:p>
    <w:p w:rsidR="00DE7618" w:rsidRDefault="00A24C53" w:rsidP="00DE7618">
      <w:pPr>
        <w:pStyle w:val="NoSpacing"/>
        <w:jc w:val="both"/>
        <w:rPr>
          <w:rFonts w:asciiTheme="minorHAnsi" w:hAnsiTheme="minorHAnsi" w:cs="Arial"/>
          <w:b/>
          <w:bCs/>
          <w:sz w:val="20"/>
          <w:szCs w:val="20"/>
          <w:lang w:val="en-ZA"/>
        </w:rPr>
      </w:pPr>
      <w:r>
        <w:rPr>
          <w:noProof/>
          <w:lang w:val="en-ZA" w:eastAsia="en-ZA"/>
        </w:rPr>
        <w:lastRenderedPageBreak/>
        <mc:AlternateContent>
          <mc:Choice Requires="wps">
            <w:drawing>
              <wp:anchor distT="0" distB="0" distL="114300" distR="114300" simplePos="0" relativeHeight="251704320" behindDoc="0" locked="0" layoutInCell="1" allowOverlap="1">
                <wp:simplePos x="0" y="0"/>
                <wp:positionH relativeFrom="column">
                  <wp:posOffset>3170555</wp:posOffset>
                </wp:positionH>
                <wp:positionV relativeFrom="paragraph">
                  <wp:posOffset>-488950</wp:posOffset>
                </wp:positionV>
                <wp:extent cx="2355850" cy="305435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05435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DE7618">
                            <w:pPr>
                              <w:pStyle w:val="NoSpacing"/>
                              <w:spacing w:line="216" w:lineRule="auto"/>
                              <w:jc w:val="both"/>
                              <w:rPr>
                                <w:rFonts w:asciiTheme="minorHAnsi" w:hAnsiTheme="minorHAnsi" w:cs="Arial"/>
                                <w:b/>
                                <w:bCs/>
                                <w:sz w:val="19"/>
                                <w:szCs w:val="19"/>
                                <w:lang w:val="en-ZA"/>
                              </w:rPr>
                            </w:pPr>
                            <w:r w:rsidRPr="001C45C2">
                              <w:rPr>
                                <w:rFonts w:asciiTheme="minorHAnsi" w:hAnsiTheme="minorHAnsi" w:cs="Arial"/>
                                <w:b/>
                                <w:bCs/>
                                <w:sz w:val="19"/>
                                <w:szCs w:val="19"/>
                                <w:lang w:val="en-ZA"/>
                              </w:rPr>
                              <w:t>Applications for Section 26(2) board members</w:t>
                            </w:r>
                          </w:p>
                          <w:p w:rsidR="00DE7618" w:rsidRPr="001C45C2" w:rsidRDefault="00DE7618" w:rsidP="00DE7618">
                            <w:pPr>
                              <w:pStyle w:val="NoSpacing"/>
                              <w:spacing w:line="216" w:lineRule="auto"/>
                              <w:jc w:val="both"/>
                              <w:rPr>
                                <w:rFonts w:asciiTheme="minorHAnsi" w:hAnsiTheme="minorHAnsi" w:cs="Arial"/>
                                <w:sz w:val="19"/>
                                <w:szCs w:val="19"/>
                                <w:lang w:val="en-ZA"/>
                              </w:rPr>
                            </w:pPr>
                            <w:r>
                              <w:rPr>
                                <w:rFonts w:asciiTheme="minorHAnsi" w:hAnsiTheme="minorHAnsi" w:cs="Arial"/>
                                <w:sz w:val="19"/>
                                <w:szCs w:val="19"/>
                                <w:lang w:val="en-ZA"/>
                              </w:rPr>
                              <w:t xml:space="preserve">Where a fund wishes to apply </w:t>
                            </w:r>
                            <w:r w:rsidRPr="001C45C2">
                              <w:rPr>
                                <w:rFonts w:asciiTheme="minorHAnsi" w:hAnsiTheme="minorHAnsi" w:cs="Arial"/>
                                <w:sz w:val="19"/>
                                <w:szCs w:val="19"/>
                                <w:lang w:val="en-ZA"/>
                              </w:rPr>
                              <w:t>for the appointment of a trustee in terms of section 26(2)</w:t>
                            </w:r>
                            <w:r>
                              <w:rPr>
                                <w:rFonts w:asciiTheme="minorHAnsi" w:hAnsiTheme="minorHAnsi" w:cs="Arial"/>
                                <w:sz w:val="19"/>
                                <w:szCs w:val="19"/>
                                <w:lang w:val="en-ZA"/>
                              </w:rPr>
                              <w:t xml:space="preserve"> of the Act, this</w:t>
                            </w:r>
                            <w:r w:rsidRPr="001C45C2">
                              <w:rPr>
                                <w:rFonts w:asciiTheme="minorHAnsi" w:hAnsiTheme="minorHAnsi" w:cs="Arial"/>
                                <w:sz w:val="19"/>
                                <w:szCs w:val="19"/>
                                <w:lang w:val="en-ZA"/>
                              </w:rPr>
                              <w:t xml:space="preserve"> must be undertaken electronically. When applying</w:t>
                            </w:r>
                            <w:r>
                              <w:rPr>
                                <w:rFonts w:asciiTheme="minorHAnsi" w:hAnsiTheme="minorHAnsi" w:cs="Arial"/>
                                <w:sz w:val="19"/>
                                <w:szCs w:val="19"/>
                                <w:lang w:val="en-ZA"/>
                              </w:rPr>
                              <w:t>,</w:t>
                            </w:r>
                            <w:r w:rsidRPr="001C45C2">
                              <w:rPr>
                                <w:rFonts w:asciiTheme="minorHAnsi" w:hAnsiTheme="minorHAnsi" w:cs="Arial"/>
                                <w:sz w:val="19"/>
                                <w:szCs w:val="19"/>
                                <w:lang w:val="en-ZA"/>
                              </w:rPr>
                              <w:t xml:space="preserve"> the following documents must be attached to the application:</w:t>
                            </w:r>
                          </w:p>
                          <w:p w:rsidR="00DE7618" w:rsidRPr="007978C4" w:rsidRDefault="00DE7618" w:rsidP="00DE7618">
                            <w:pPr>
                              <w:pStyle w:val="NoSpacing"/>
                              <w:numPr>
                                <w:ilvl w:val="0"/>
                                <w:numId w:val="22"/>
                              </w:numPr>
                              <w:spacing w:line="216" w:lineRule="auto"/>
                              <w:jc w:val="both"/>
                              <w:rPr>
                                <w:rFonts w:asciiTheme="minorHAnsi" w:hAnsiTheme="minorHAnsi" w:cs="Arial"/>
                                <w:sz w:val="19"/>
                                <w:szCs w:val="19"/>
                                <w:lang w:val="en-ZA"/>
                              </w:rPr>
                            </w:pPr>
                            <w:r w:rsidRPr="007978C4">
                              <w:rPr>
                                <w:rFonts w:asciiTheme="minorHAnsi" w:hAnsiTheme="minorHAnsi" w:cs="Arial"/>
                                <w:sz w:val="19"/>
                                <w:szCs w:val="19"/>
                                <w:lang w:val="en-ZA"/>
                              </w:rPr>
                              <w:t>A motivation letter setting out a brief history on the fund’s circumstances Steps taken by the remaining trustees or the administrator to re-constitute the board</w:t>
                            </w:r>
                          </w:p>
                          <w:p w:rsidR="00DE7618" w:rsidRPr="007978C4" w:rsidRDefault="00DE7618" w:rsidP="00DE7618">
                            <w:pPr>
                              <w:pStyle w:val="NoSpacing"/>
                              <w:numPr>
                                <w:ilvl w:val="0"/>
                                <w:numId w:val="22"/>
                              </w:numPr>
                              <w:spacing w:line="216" w:lineRule="auto"/>
                              <w:jc w:val="both"/>
                              <w:rPr>
                                <w:rFonts w:cs="Arial"/>
                                <w:sz w:val="19"/>
                                <w:szCs w:val="19"/>
                              </w:rPr>
                            </w:pPr>
                            <w:r w:rsidRPr="007978C4">
                              <w:rPr>
                                <w:rFonts w:asciiTheme="minorHAnsi" w:hAnsiTheme="minorHAnsi" w:cs="Arial"/>
                                <w:sz w:val="19"/>
                                <w:szCs w:val="19"/>
                                <w:lang w:val="en-ZA"/>
                              </w:rPr>
                              <w:t xml:space="preserve">ID documents and brief CVs of 2 persons whom the fund would like the Registrar to consider as suitable FSB appointments </w:t>
                            </w:r>
                            <w:r>
                              <w:rPr>
                                <w:rFonts w:asciiTheme="minorHAnsi" w:hAnsiTheme="minorHAnsi" w:cs="Arial"/>
                                <w:sz w:val="19"/>
                                <w:szCs w:val="19"/>
                                <w:lang w:val="en-ZA"/>
                              </w:rPr>
                              <w:t>to the board</w:t>
                            </w:r>
                          </w:p>
                          <w:p w:rsidR="00DE7618" w:rsidRPr="007978C4" w:rsidRDefault="00DE7618" w:rsidP="00DE7618">
                            <w:pPr>
                              <w:pStyle w:val="NoSpacing"/>
                              <w:numPr>
                                <w:ilvl w:val="0"/>
                                <w:numId w:val="22"/>
                              </w:numPr>
                              <w:spacing w:line="216" w:lineRule="auto"/>
                              <w:jc w:val="both"/>
                              <w:rPr>
                                <w:rFonts w:cs="Arial"/>
                                <w:sz w:val="19"/>
                                <w:szCs w:val="19"/>
                              </w:rPr>
                            </w:pPr>
                            <w:r w:rsidRPr="007978C4">
                              <w:rPr>
                                <w:rFonts w:asciiTheme="minorHAnsi" w:hAnsiTheme="minorHAnsi" w:cs="Arial"/>
                                <w:sz w:val="19"/>
                                <w:szCs w:val="19"/>
                                <w:lang w:val="en-ZA"/>
                              </w:rPr>
                              <w:t>A list of outstanding fund issues that need to be attended to by the Section 26(2) board, for inclusion in the appointment letter</w:t>
                            </w:r>
                            <w:r>
                              <w:rPr>
                                <w:rFonts w:asciiTheme="minorHAnsi" w:hAnsiTheme="minorHAnsi" w:cs="Arial"/>
                                <w:sz w:val="19"/>
                                <w:szCs w:val="19"/>
                                <w:lang w:val="en-ZA"/>
                              </w:rPr>
                              <w:t xml:space="preserve">, in respect of the </w:t>
                            </w:r>
                            <w:r w:rsidRPr="007978C4">
                              <w:rPr>
                                <w:rFonts w:asciiTheme="minorHAnsi" w:hAnsiTheme="minorHAnsi" w:cs="Arial"/>
                                <w:sz w:val="19"/>
                                <w:szCs w:val="19"/>
                                <w:lang w:val="en-ZA"/>
                              </w:rPr>
                              <w:t>section 26(2) trustee</w:t>
                            </w:r>
                            <w:r>
                              <w:rPr>
                                <w:rFonts w:asciiTheme="minorHAnsi" w:hAnsiTheme="minorHAnsi" w:cs="Arial"/>
                                <w:sz w:val="19"/>
                                <w:szCs w:val="19"/>
                                <w:lang w:val="en-ZA"/>
                              </w:rPr>
                              <w:t>(</w:t>
                            </w:r>
                            <w:r w:rsidRPr="007978C4">
                              <w:rPr>
                                <w:rFonts w:asciiTheme="minorHAnsi" w:hAnsiTheme="minorHAnsi" w:cs="Arial"/>
                                <w:sz w:val="19"/>
                                <w:szCs w:val="19"/>
                                <w:lang w:val="en-ZA"/>
                              </w:rPr>
                              <w:t>s</w:t>
                            </w:r>
                            <w:r>
                              <w:rPr>
                                <w:rFonts w:asciiTheme="minorHAnsi" w:hAnsiTheme="minorHAnsi" w:cs="Arial"/>
                                <w:sz w:val="19"/>
                                <w:szCs w:val="19"/>
                                <w:lang w:val="en-ZA"/>
                              </w:rPr>
                              <w:t>)</w:t>
                            </w:r>
                            <w:r w:rsidRPr="007978C4">
                              <w:rPr>
                                <w:rFonts w:asciiTheme="minorHAnsi" w:hAnsiTheme="minorHAnsi" w:cs="Arial"/>
                                <w:sz w:val="19"/>
                                <w:szCs w:val="19"/>
                                <w:lang w:val="en-Z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49.65pt;margin-top:-38.5pt;width:185.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" fillcolor="#f2f2f2 [3052]" stroked="f">
                <v:textbox>
                  <w:txbxContent>
                    <w:p w:rsidR="00DE7618" w:rsidRPr="001C45C2" w:rsidRDefault="00DE7618" w:rsidP="00DE7618">
                      <w:pPr>
                        <w:pStyle w:val="NoSpacing"/>
                        <w:spacing w:line="216" w:lineRule="auto"/>
                        <w:jc w:val="both"/>
                        <w:rPr>
                          <w:rFonts w:asciiTheme="minorHAnsi" w:hAnsiTheme="minorHAnsi" w:cs="Arial"/>
                          <w:b/>
                          <w:bCs/>
                          <w:sz w:val="19"/>
                          <w:szCs w:val="19"/>
                          <w:lang w:val="en-ZA"/>
                        </w:rPr>
                      </w:pPr>
                      <w:r w:rsidRPr="001C45C2">
                        <w:rPr>
                          <w:rFonts w:asciiTheme="minorHAnsi" w:hAnsiTheme="minorHAnsi" w:cs="Arial"/>
                          <w:b/>
                          <w:bCs/>
                          <w:sz w:val="19"/>
                          <w:szCs w:val="19"/>
                          <w:lang w:val="en-ZA"/>
                        </w:rPr>
                        <w:t>Applications for Section 26(2) board members</w:t>
                      </w:r>
                    </w:p>
                    <w:p w:rsidR="00DE7618" w:rsidRPr="001C45C2" w:rsidRDefault="00DE7618" w:rsidP="00DE7618">
                      <w:pPr>
                        <w:pStyle w:val="NoSpacing"/>
                        <w:spacing w:line="216" w:lineRule="auto"/>
                        <w:jc w:val="both"/>
                        <w:rPr>
                          <w:rFonts w:asciiTheme="minorHAnsi" w:hAnsiTheme="minorHAnsi" w:cs="Arial"/>
                          <w:sz w:val="19"/>
                          <w:szCs w:val="19"/>
                          <w:lang w:val="en-ZA"/>
                        </w:rPr>
                      </w:pPr>
                      <w:r>
                        <w:rPr>
                          <w:rFonts w:asciiTheme="minorHAnsi" w:hAnsiTheme="minorHAnsi" w:cs="Arial"/>
                          <w:sz w:val="19"/>
                          <w:szCs w:val="19"/>
                          <w:lang w:val="en-ZA"/>
                        </w:rPr>
                        <w:t xml:space="preserve">Where a fund wishes to apply </w:t>
                      </w:r>
                      <w:r w:rsidRPr="001C45C2">
                        <w:rPr>
                          <w:rFonts w:asciiTheme="minorHAnsi" w:hAnsiTheme="minorHAnsi" w:cs="Arial"/>
                          <w:sz w:val="19"/>
                          <w:szCs w:val="19"/>
                          <w:lang w:val="en-ZA"/>
                        </w:rPr>
                        <w:t>for the appointment of a trustee in terms of section 26(2)</w:t>
                      </w:r>
                      <w:r>
                        <w:rPr>
                          <w:rFonts w:asciiTheme="minorHAnsi" w:hAnsiTheme="minorHAnsi" w:cs="Arial"/>
                          <w:sz w:val="19"/>
                          <w:szCs w:val="19"/>
                          <w:lang w:val="en-ZA"/>
                        </w:rPr>
                        <w:t xml:space="preserve"> of the Act, this</w:t>
                      </w:r>
                      <w:r w:rsidRPr="001C45C2">
                        <w:rPr>
                          <w:rFonts w:asciiTheme="minorHAnsi" w:hAnsiTheme="minorHAnsi" w:cs="Arial"/>
                          <w:sz w:val="19"/>
                          <w:szCs w:val="19"/>
                          <w:lang w:val="en-ZA"/>
                        </w:rPr>
                        <w:t xml:space="preserve"> must be undertaken electronically. When applying</w:t>
                      </w:r>
                      <w:r>
                        <w:rPr>
                          <w:rFonts w:asciiTheme="minorHAnsi" w:hAnsiTheme="minorHAnsi" w:cs="Arial"/>
                          <w:sz w:val="19"/>
                          <w:szCs w:val="19"/>
                          <w:lang w:val="en-ZA"/>
                        </w:rPr>
                        <w:t>,</w:t>
                      </w:r>
                      <w:r w:rsidRPr="001C45C2">
                        <w:rPr>
                          <w:rFonts w:asciiTheme="minorHAnsi" w:hAnsiTheme="minorHAnsi" w:cs="Arial"/>
                          <w:sz w:val="19"/>
                          <w:szCs w:val="19"/>
                          <w:lang w:val="en-ZA"/>
                        </w:rPr>
                        <w:t xml:space="preserve"> the following documents must be attached to the application:</w:t>
                      </w:r>
                    </w:p>
                    <w:p w:rsidR="00DE7618" w:rsidRPr="007978C4" w:rsidRDefault="00DE7618" w:rsidP="00DE7618">
                      <w:pPr>
                        <w:pStyle w:val="NoSpacing"/>
                        <w:numPr>
                          <w:ilvl w:val="0"/>
                          <w:numId w:val="22"/>
                        </w:numPr>
                        <w:spacing w:line="216" w:lineRule="auto"/>
                        <w:jc w:val="both"/>
                        <w:rPr>
                          <w:rFonts w:asciiTheme="minorHAnsi" w:hAnsiTheme="minorHAnsi" w:cs="Arial"/>
                          <w:sz w:val="19"/>
                          <w:szCs w:val="19"/>
                          <w:lang w:val="en-ZA"/>
                        </w:rPr>
                      </w:pPr>
                      <w:r w:rsidRPr="007978C4">
                        <w:rPr>
                          <w:rFonts w:asciiTheme="minorHAnsi" w:hAnsiTheme="minorHAnsi" w:cs="Arial"/>
                          <w:sz w:val="19"/>
                          <w:szCs w:val="19"/>
                          <w:lang w:val="en-ZA"/>
                        </w:rPr>
                        <w:t>A motivation letter setting out a brief history on the fund’s circumstances Steps taken by the remaining trustees or the administrator to re-constitute the board</w:t>
                      </w:r>
                    </w:p>
                    <w:p w:rsidR="00DE7618" w:rsidRPr="007978C4" w:rsidRDefault="00DE7618" w:rsidP="00DE7618">
                      <w:pPr>
                        <w:pStyle w:val="NoSpacing"/>
                        <w:numPr>
                          <w:ilvl w:val="0"/>
                          <w:numId w:val="22"/>
                        </w:numPr>
                        <w:spacing w:line="216" w:lineRule="auto"/>
                        <w:jc w:val="both"/>
                        <w:rPr>
                          <w:rFonts w:cs="Arial"/>
                          <w:sz w:val="19"/>
                          <w:szCs w:val="19"/>
                        </w:rPr>
                      </w:pPr>
                      <w:r w:rsidRPr="007978C4">
                        <w:rPr>
                          <w:rFonts w:asciiTheme="minorHAnsi" w:hAnsiTheme="minorHAnsi" w:cs="Arial"/>
                          <w:sz w:val="19"/>
                          <w:szCs w:val="19"/>
                          <w:lang w:val="en-ZA"/>
                        </w:rPr>
                        <w:t xml:space="preserve">ID documents and brief CVs of 2 persons whom the fund would like the Registrar to consider as suitable FSB appointments </w:t>
                      </w:r>
                      <w:r>
                        <w:rPr>
                          <w:rFonts w:asciiTheme="minorHAnsi" w:hAnsiTheme="minorHAnsi" w:cs="Arial"/>
                          <w:sz w:val="19"/>
                          <w:szCs w:val="19"/>
                          <w:lang w:val="en-ZA"/>
                        </w:rPr>
                        <w:t>to the board</w:t>
                      </w:r>
                    </w:p>
                    <w:p w:rsidR="00DE7618" w:rsidRPr="007978C4" w:rsidRDefault="00DE7618" w:rsidP="00DE7618">
                      <w:pPr>
                        <w:pStyle w:val="NoSpacing"/>
                        <w:numPr>
                          <w:ilvl w:val="0"/>
                          <w:numId w:val="22"/>
                        </w:numPr>
                        <w:spacing w:line="216" w:lineRule="auto"/>
                        <w:jc w:val="both"/>
                        <w:rPr>
                          <w:rFonts w:cs="Arial"/>
                          <w:sz w:val="19"/>
                          <w:szCs w:val="19"/>
                        </w:rPr>
                      </w:pPr>
                      <w:r w:rsidRPr="007978C4">
                        <w:rPr>
                          <w:rFonts w:asciiTheme="minorHAnsi" w:hAnsiTheme="minorHAnsi" w:cs="Arial"/>
                          <w:sz w:val="19"/>
                          <w:szCs w:val="19"/>
                          <w:lang w:val="en-ZA"/>
                        </w:rPr>
                        <w:t>A list of outstanding fund issues that need to be attended to by the Section 26(2) board, for inclusion in the appointment letter</w:t>
                      </w:r>
                      <w:r>
                        <w:rPr>
                          <w:rFonts w:asciiTheme="minorHAnsi" w:hAnsiTheme="minorHAnsi" w:cs="Arial"/>
                          <w:sz w:val="19"/>
                          <w:szCs w:val="19"/>
                          <w:lang w:val="en-ZA"/>
                        </w:rPr>
                        <w:t xml:space="preserve">, in respect of the </w:t>
                      </w:r>
                      <w:r w:rsidRPr="007978C4">
                        <w:rPr>
                          <w:rFonts w:asciiTheme="minorHAnsi" w:hAnsiTheme="minorHAnsi" w:cs="Arial"/>
                          <w:sz w:val="19"/>
                          <w:szCs w:val="19"/>
                          <w:lang w:val="en-ZA"/>
                        </w:rPr>
                        <w:t>section 26(2) trustee</w:t>
                      </w:r>
                      <w:r>
                        <w:rPr>
                          <w:rFonts w:asciiTheme="minorHAnsi" w:hAnsiTheme="minorHAnsi" w:cs="Arial"/>
                          <w:sz w:val="19"/>
                          <w:szCs w:val="19"/>
                          <w:lang w:val="en-ZA"/>
                        </w:rPr>
                        <w:t>(</w:t>
                      </w:r>
                      <w:r w:rsidRPr="007978C4">
                        <w:rPr>
                          <w:rFonts w:asciiTheme="minorHAnsi" w:hAnsiTheme="minorHAnsi" w:cs="Arial"/>
                          <w:sz w:val="19"/>
                          <w:szCs w:val="19"/>
                          <w:lang w:val="en-ZA"/>
                        </w:rPr>
                        <w:t>s</w:t>
                      </w:r>
                      <w:r>
                        <w:rPr>
                          <w:rFonts w:asciiTheme="minorHAnsi" w:hAnsiTheme="minorHAnsi" w:cs="Arial"/>
                          <w:sz w:val="19"/>
                          <w:szCs w:val="19"/>
                          <w:lang w:val="en-ZA"/>
                        </w:rPr>
                        <w:t>)</w:t>
                      </w:r>
                      <w:r w:rsidRPr="007978C4">
                        <w:rPr>
                          <w:rFonts w:asciiTheme="minorHAnsi" w:hAnsiTheme="minorHAnsi" w:cs="Arial"/>
                          <w:sz w:val="19"/>
                          <w:szCs w:val="19"/>
                          <w:lang w:val="en-ZA"/>
                        </w:rPr>
                        <w:t>.</w:t>
                      </w:r>
                    </w:p>
                  </w:txbxContent>
                </v:textbox>
              </v:shape>
            </w:pict>
          </mc:Fallback>
        </mc:AlternateContent>
      </w:r>
      <w:r>
        <w:rPr>
          <w:noProof/>
          <w:lang w:val="en-ZA" w:eastAsia="en-ZA"/>
        </w:rPr>
        <mc:AlternateContent>
          <mc:Choice Requires="wps">
            <w:drawing>
              <wp:anchor distT="0" distB="0" distL="114300" distR="114300" simplePos="0" relativeHeight="251703296" behindDoc="0" locked="0" layoutInCell="1" allowOverlap="1">
                <wp:simplePos x="0" y="0"/>
                <wp:positionH relativeFrom="column">
                  <wp:posOffset>12700</wp:posOffset>
                </wp:positionH>
                <wp:positionV relativeFrom="paragraph">
                  <wp:posOffset>-488950</wp:posOffset>
                </wp:positionV>
                <wp:extent cx="3157855" cy="3054350"/>
                <wp:effectExtent l="1270" t="0" r="3175"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30543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618" w:rsidRPr="001C45C2" w:rsidRDefault="00DE7618" w:rsidP="00800B3C">
                            <w:pPr>
                              <w:pStyle w:val="NoSpacing"/>
                              <w:spacing w:line="235" w:lineRule="auto"/>
                              <w:jc w:val="both"/>
                              <w:rPr>
                                <w:rFonts w:asciiTheme="minorHAnsi" w:hAnsiTheme="minorHAnsi" w:cs="Arial"/>
                                <w:b/>
                                <w:bCs/>
                                <w:sz w:val="19"/>
                                <w:szCs w:val="19"/>
                                <w:lang w:val="en-ZA"/>
                              </w:rPr>
                            </w:pPr>
                            <w:r w:rsidRPr="001C45C2">
                              <w:rPr>
                                <w:rFonts w:asciiTheme="minorHAnsi" w:hAnsiTheme="minorHAnsi" w:cs="Arial"/>
                                <w:b/>
                                <w:bCs/>
                                <w:sz w:val="19"/>
                                <w:szCs w:val="19"/>
                                <w:lang w:val="en-ZA"/>
                              </w:rPr>
                              <w:t xml:space="preserve">Section 26(2) board </w:t>
                            </w:r>
                            <w:r>
                              <w:rPr>
                                <w:rFonts w:asciiTheme="minorHAnsi" w:hAnsiTheme="minorHAnsi" w:cs="Arial"/>
                                <w:b/>
                                <w:bCs/>
                                <w:sz w:val="19"/>
                                <w:szCs w:val="19"/>
                                <w:lang w:val="en-ZA"/>
                              </w:rPr>
                              <w:t xml:space="preserve">(FSB appointed board) </w:t>
                            </w:r>
                            <w:r w:rsidRPr="001C45C2">
                              <w:rPr>
                                <w:rFonts w:asciiTheme="minorHAnsi" w:hAnsiTheme="minorHAnsi" w:cs="Arial"/>
                                <w:b/>
                                <w:bCs/>
                                <w:sz w:val="19"/>
                                <w:szCs w:val="19"/>
                                <w:lang w:val="en-ZA"/>
                              </w:rPr>
                              <w:t>duties</w:t>
                            </w:r>
                          </w:p>
                          <w:p w:rsidR="00DE7618" w:rsidRPr="001C45C2" w:rsidRDefault="00DE7618" w:rsidP="00800B3C">
                            <w:pPr>
                              <w:pStyle w:val="NoSpacing"/>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These include:</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Constituting a board in terms of the rules of the fund</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All aspects of management of the fund in terms of the Act</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Ensuring compliance with all laws applicable to retirement funds</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Applying for exemption from the minimum board member requirements ( section 7B of the Act)</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In the event that a valid board in terms of section 7A of the Act cannot be established, applying to the Registrar for the approval of the appointment of a liquidator, or applying for the cancellation of the fund (as appropriate).</w:t>
                            </w:r>
                          </w:p>
                          <w:p w:rsidR="00DE7618" w:rsidRPr="001C45C2" w:rsidRDefault="00DE7618" w:rsidP="00800B3C">
                            <w:pPr>
                              <w:pStyle w:val="NoSpacing"/>
                              <w:spacing w:line="235" w:lineRule="auto"/>
                              <w:jc w:val="both"/>
                              <w:rPr>
                                <w:rFonts w:asciiTheme="minorHAnsi" w:hAnsiTheme="minorHAnsi" w:cs="Arial"/>
                                <w:sz w:val="19"/>
                                <w:szCs w:val="19"/>
                                <w:lang w:val="en-ZA"/>
                              </w:rPr>
                            </w:pPr>
                          </w:p>
                          <w:p w:rsidR="00DE7618" w:rsidRPr="001C45C2" w:rsidRDefault="00DE7618" w:rsidP="00800B3C">
                            <w:pPr>
                              <w:pStyle w:val="NoSpacing"/>
                              <w:spacing w:line="235" w:lineRule="auto"/>
                              <w:jc w:val="both"/>
                              <w:rPr>
                                <w:rFonts w:cs="Arial"/>
                                <w:sz w:val="19"/>
                                <w:szCs w:val="19"/>
                              </w:rPr>
                            </w:pPr>
                            <w:r w:rsidRPr="001C45C2">
                              <w:rPr>
                                <w:rFonts w:asciiTheme="minorHAnsi" w:hAnsiTheme="minorHAnsi" w:cs="Arial"/>
                                <w:sz w:val="19"/>
                                <w:szCs w:val="19"/>
                                <w:lang w:val="en-ZA"/>
                              </w:rPr>
                              <w:t xml:space="preserve">Boards/board members that are or have been appointed in terms of section 26(2) </w:t>
                            </w:r>
                            <w:r>
                              <w:rPr>
                                <w:rFonts w:asciiTheme="minorHAnsi" w:hAnsiTheme="minorHAnsi" w:cs="Arial"/>
                                <w:sz w:val="19"/>
                                <w:szCs w:val="19"/>
                                <w:lang w:val="en-ZA"/>
                              </w:rPr>
                              <w:t xml:space="preserve">of the Act </w:t>
                            </w:r>
                            <w:r w:rsidRPr="001C45C2">
                              <w:rPr>
                                <w:rFonts w:asciiTheme="minorHAnsi" w:hAnsiTheme="minorHAnsi" w:cs="Arial"/>
                                <w:sz w:val="19"/>
                                <w:szCs w:val="19"/>
                                <w:lang w:val="en-ZA"/>
                              </w:rPr>
                              <w:t>must perform the duties as contained in their appointment letters</w:t>
                            </w:r>
                            <w:r>
                              <w:rPr>
                                <w:rFonts w:asciiTheme="minorHAnsi" w:hAnsiTheme="minorHAnsi" w:cs="Arial"/>
                                <w:sz w:val="19"/>
                                <w:szCs w:val="19"/>
                                <w:lang w:val="en-ZA"/>
                              </w:rPr>
                              <w:t>. These appointment letters</w:t>
                            </w:r>
                            <w:r w:rsidRPr="001C45C2">
                              <w:rPr>
                                <w:rFonts w:asciiTheme="minorHAnsi" w:hAnsiTheme="minorHAnsi" w:cs="Arial"/>
                                <w:sz w:val="19"/>
                                <w:szCs w:val="19"/>
                                <w:lang w:val="en-ZA"/>
                              </w:rPr>
                              <w:t xml:space="preserve"> may be supplemented or altered in terms of section 26(2)(b)</w:t>
                            </w:r>
                            <w:r>
                              <w:rPr>
                                <w:rFonts w:asciiTheme="minorHAnsi" w:hAnsiTheme="minorHAnsi" w:cs="Arial"/>
                                <w:sz w:val="19"/>
                                <w:szCs w:val="19"/>
                                <w:lang w:val="en-ZA"/>
                              </w:rPr>
                              <w:t xml:space="preserve">, </w:t>
                            </w:r>
                            <w:r w:rsidRPr="001C45C2">
                              <w:rPr>
                                <w:rFonts w:asciiTheme="minorHAnsi" w:hAnsiTheme="minorHAnsi" w:cs="Arial"/>
                                <w:sz w:val="19"/>
                                <w:szCs w:val="19"/>
                                <w:lang w:val="en-ZA"/>
                              </w:rPr>
                              <w:t>at the discretion of the Registrar.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pt;margin-top:-38.5pt;width:248.65pt;height:2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" fillcolor="#d8d8d8 [2732]" stroked="f">
                <v:textbox>
                  <w:txbxContent>
                    <w:p w:rsidR="00DE7618" w:rsidRPr="001C45C2" w:rsidRDefault="00DE7618" w:rsidP="00800B3C">
                      <w:pPr>
                        <w:pStyle w:val="NoSpacing"/>
                        <w:spacing w:line="235" w:lineRule="auto"/>
                        <w:jc w:val="both"/>
                        <w:rPr>
                          <w:rFonts w:asciiTheme="minorHAnsi" w:hAnsiTheme="minorHAnsi" w:cs="Arial"/>
                          <w:b/>
                          <w:bCs/>
                          <w:sz w:val="19"/>
                          <w:szCs w:val="19"/>
                          <w:lang w:val="en-ZA"/>
                        </w:rPr>
                      </w:pPr>
                      <w:r w:rsidRPr="001C45C2">
                        <w:rPr>
                          <w:rFonts w:asciiTheme="minorHAnsi" w:hAnsiTheme="minorHAnsi" w:cs="Arial"/>
                          <w:b/>
                          <w:bCs/>
                          <w:sz w:val="19"/>
                          <w:szCs w:val="19"/>
                          <w:lang w:val="en-ZA"/>
                        </w:rPr>
                        <w:t xml:space="preserve">Section 26(2) board </w:t>
                      </w:r>
                      <w:r>
                        <w:rPr>
                          <w:rFonts w:asciiTheme="minorHAnsi" w:hAnsiTheme="minorHAnsi" w:cs="Arial"/>
                          <w:b/>
                          <w:bCs/>
                          <w:sz w:val="19"/>
                          <w:szCs w:val="19"/>
                          <w:lang w:val="en-ZA"/>
                        </w:rPr>
                        <w:t xml:space="preserve">(FSB appointed board) </w:t>
                      </w:r>
                      <w:r w:rsidRPr="001C45C2">
                        <w:rPr>
                          <w:rFonts w:asciiTheme="minorHAnsi" w:hAnsiTheme="minorHAnsi" w:cs="Arial"/>
                          <w:b/>
                          <w:bCs/>
                          <w:sz w:val="19"/>
                          <w:szCs w:val="19"/>
                          <w:lang w:val="en-ZA"/>
                        </w:rPr>
                        <w:t>duties</w:t>
                      </w:r>
                    </w:p>
                    <w:p w:rsidR="00DE7618" w:rsidRPr="001C45C2" w:rsidRDefault="00DE7618" w:rsidP="00800B3C">
                      <w:pPr>
                        <w:pStyle w:val="NoSpacing"/>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These include:</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Constituting a board in terms of the rules of the fund</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All aspects of management of the fund in terms of the Act</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Ensuring compliance with all laws applicable to retirement funds</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Applying for exemption from the minimum board member requirements ( section 7B of the Act)</w:t>
                      </w:r>
                    </w:p>
                    <w:p w:rsidR="00DE7618" w:rsidRPr="001C45C2" w:rsidRDefault="00DE7618" w:rsidP="00800B3C">
                      <w:pPr>
                        <w:pStyle w:val="NoSpacing"/>
                        <w:numPr>
                          <w:ilvl w:val="0"/>
                          <w:numId w:val="22"/>
                        </w:numPr>
                        <w:spacing w:line="235" w:lineRule="auto"/>
                        <w:jc w:val="both"/>
                        <w:rPr>
                          <w:rFonts w:asciiTheme="minorHAnsi" w:hAnsiTheme="minorHAnsi" w:cs="Arial"/>
                          <w:sz w:val="19"/>
                          <w:szCs w:val="19"/>
                          <w:lang w:val="en-ZA"/>
                        </w:rPr>
                      </w:pPr>
                      <w:r w:rsidRPr="001C45C2">
                        <w:rPr>
                          <w:rFonts w:asciiTheme="minorHAnsi" w:hAnsiTheme="minorHAnsi" w:cs="Arial"/>
                          <w:sz w:val="19"/>
                          <w:szCs w:val="19"/>
                          <w:lang w:val="en-ZA"/>
                        </w:rPr>
                        <w:t>In the event that a valid board in terms of section 7A of the Act cannot be established, applying to the Registrar for the approval of the appointment of a liquidator, or applying for the cancellation of the fund (as appropriate).</w:t>
                      </w:r>
                    </w:p>
                    <w:p w:rsidR="00DE7618" w:rsidRPr="001C45C2" w:rsidRDefault="00DE7618" w:rsidP="00800B3C">
                      <w:pPr>
                        <w:pStyle w:val="NoSpacing"/>
                        <w:spacing w:line="235" w:lineRule="auto"/>
                        <w:jc w:val="both"/>
                        <w:rPr>
                          <w:rFonts w:asciiTheme="minorHAnsi" w:hAnsiTheme="minorHAnsi" w:cs="Arial"/>
                          <w:sz w:val="19"/>
                          <w:szCs w:val="19"/>
                          <w:lang w:val="en-ZA"/>
                        </w:rPr>
                      </w:pPr>
                    </w:p>
                    <w:p w:rsidR="00DE7618" w:rsidRPr="001C45C2" w:rsidRDefault="00DE7618" w:rsidP="00800B3C">
                      <w:pPr>
                        <w:pStyle w:val="NoSpacing"/>
                        <w:spacing w:line="235" w:lineRule="auto"/>
                        <w:jc w:val="both"/>
                        <w:rPr>
                          <w:rFonts w:cs="Arial"/>
                          <w:sz w:val="19"/>
                          <w:szCs w:val="19"/>
                        </w:rPr>
                      </w:pPr>
                      <w:r w:rsidRPr="001C45C2">
                        <w:rPr>
                          <w:rFonts w:asciiTheme="minorHAnsi" w:hAnsiTheme="minorHAnsi" w:cs="Arial"/>
                          <w:sz w:val="19"/>
                          <w:szCs w:val="19"/>
                          <w:lang w:val="en-ZA"/>
                        </w:rPr>
                        <w:t xml:space="preserve">Boards/board members that are or have been appointed in terms of section 26(2) </w:t>
                      </w:r>
                      <w:r>
                        <w:rPr>
                          <w:rFonts w:asciiTheme="minorHAnsi" w:hAnsiTheme="minorHAnsi" w:cs="Arial"/>
                          <w:sz w:val="19"/>
                          <w:szCs w:val="19"/>
                          <w:lang w:val="en-ZA"/>
                        </w:rPr>
                        <w:t xml:space="preserve">of the Act </w:t>
                      </w:r>
                      <w:r w:rsidRPr="001C45C2">
                        <w:rPr>
                          <w:rFonts w:asciiTheme="minorHAnsi" w:hAnsiTheme="minorHAnsi" w:cs="Arial"/>
                          <w:sz w:val="19"/>
                          <w:szCs w:val="19"/>
                          <w:lang w:val="en-ZA"/>
                        </w:rPr>
                        <w:t>must perform the duties as contained in their appointment letters</w:t>
                      </w:r>
                      <w:r>
                        <w:rPr>
                          <w:rFonts w:asciiTheme="minorHAnsi" w:hAnsiTheme="minorHAnsi" w:cs="Arial"/>
                          <w:sz w:val="19"/>
                          <w:szCs w:val="19"/>
                          <w:lang w:val="en-ZA"/>
                        </w:rPr>
                        <w:t>. These appointment letters</w:t>
                      </w:r>
                      <w:r w:rsidRPr="001C45C2">
                        <w:rPr>
                          <w:rFonts w:asciiTheme="minorHAnsi" w:hAnsiTheme="minorHAnsi" w:cs="Arial"/>
                          <w:sz w:val="19"/>
                          <w:szCs w:val="19"/>
                          <w:lang w:val="en-ZA"/>
                        </w:rPr>
                        <w:t xml:space="preserve"> may be supplemented or altered in terms of section 26(2)(b)</w:t>
                      </w:r>
                      <w:r>
                        <w:rPr>
                          <w:rFonts w:asciiTheme="minorHAnsi" w:hAnsiTheme="minorHAnsi" w:cs="Arial"/>
                          <w:sz w:val="19"/>
                          <w:szCs w:val="19"/>
                          <w:lang w:val="en-ZA"/>
                        </w:rPr>
                        <w:t xml:space="preserve">, </w:t>
                      </w:r>
                      <w:r w:rsidRPr="001C45C2">
                        <w:rPr>
                          <w:rFonts w:asciiTheme="minorHAnsi" w:hAnsiTheme="minorHAnsi" w:cs="Arial"/>
                          <w:sz w:val="19"/>
                          <w:szCs w:val="19"/>
                          <w:lang w:val="en-ZA"/>
                        </w:rPr>
                        <w:t>at the discretion of the Registrar.</w:t>
                      </w:r>
                    </w:p>
                  </w:txbxContent>
                </v:textbox>
              </v:shape>
            </w:pict>
          </mc:Fallback>
        </mc:AlternateContent>
      </w: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Default="00DE7618" w:rsidP="00DE7618">
      <w:pPr>
        <w:pStyle w:val="NoSpacing"/>
        <w:jc w:val="both"/>
        <w:rPr>
          <w:rFonts w:asciiTheme="minorHAnsi" w:hAnsiTheme="minorHAnsi" w:cs="Arial"/>
          <w:b/>
          <w:bCs/>
          <w:sz w:val="20"/>
          <w:szCs w:val="20"/>
          <w:lang w:val="en-ZA"/>
        </w:rPr>
      </w:pPr>
    </w:p>
    <w:p w:rsidR="00DE7618" w:rsidRPr="00863B67" w:rsidRDefault="00DE7618" w:rsidP="00DE7618">
      <w:pPr>
        <w:pStyle w:val="NoSpacing"/>
        <w:numPr>
          <w:ilvl w:val="0"/>
          <w:numId w:val="19"/>
        </w:numPr>
        <w:jc w:val="both"/>
        <w:rPr>
          <w:rFonts w:asciiTheme="minorHAnsi" w:hAnsiTheme="minorHAnsi" w:cs="Arial"/>
          <w:b/>
          <w:sz w:val="24"/>
          <w:szCs w:val="26"/>
        </w:rPr>
      </w:pPr>
      <w:r w:rsidRPr="00863B67">
        <w:rPr>
          <w:rFonts w:asciiTheme="minorHAnsi" w:hAnsiTheme="minorHAnsi" w:cs="Arial"/>
          <w:b/>
          <w:sz w:val="24"/>
          <w:szCs w:val="26"/>
        </w:rPr>
        <w:t>Information Circular PF 4 of 2017</w:t>
      </w:r>
    </w:p>
    <w:p w:rsidR="00DE7618" w:rsidRDefault="00DE7618" w:rsidP="00DE7618">
      <w:pPr>
        <w:rPr>
          <w:rFonts w:asciiTheme="minorHAnsi" w:hAnsiTheme="minorHAnsi" w:cs="Arial"/>
          <w:sz w:val="21"/>
          <w:szCs w:val="21"/>
        </w:rPr>
      </w:pPr>
    </w:p>
    <w:p w:rsidR="00DE7618" w:rsidRDefault="00DE7618" w:rsidP="00DE7618">
      <w:pPr>
        <w:jc w:val="both"/>
        <w:rPr>
          <w:rFonts w:asciiTheme="minorHAnsi" w:hAnsiTheme="minorHAnsi" w:cs="Arial"/>
          <w:sz w:val="20"/>
          <w:szCs w:val="20"/>
        </w:rPr>
      </w:pPr>
      <w:r w:rsidRPr="00A629B9">
        <w:rPr>
          <w:rFonts w:asciiTheme="minorHAnsi" w:hAnsiTheme="minorHAnsi" w:cs="Arial"/>
          <w:sz w:val="20"/>
          <w:szCs w:val="20"/>
        </w:rPr>
        <w:t xml:space="preserve">Information Circular </w:t>
      </w:r>
      <w:r>
        <w:rPr>
          <w:rFonts w:asciiTheme="minorHAnsi" w:hAnsiTheme="minorHAnsi" w:cs="Arial"/>
          <w:sz w:val="20"/>
          <w:szCs w:val="20"/>
        </w:rPr>
        <w:t>4</w:t>
      </w:r>
      <w:r w:rsidRPr="00A629B9">
        <w:rPr>
          <w:rFonts w:asciiTheme="minorHAnsi" w:hAnsiTheme="minorHAnsi" w:cs="Arial"/>
          <w:sz w:val="20"/>
          <w:szCs w:val="20"/>
        </w:rPr>
        <w:t xml:space="preserve"> of 2017 was issued </w:t>
      </w:r>
      <w:r>
        <w:rPr>
          <w:rFonts w:asciiTheme="minorHAnsi" w:hAnsiTheme="minorHAnsi" w:cs="Arial"/>
          <w:sz w:val="20"/>
          <w:szCs w:val="20"/>
        </w:rPr>
        <w:t xml:space="preserve">by the FSB </w:t>
      </w:r>
      <w:r w:rsidRPr="00A629B9">
        <w:rPr>
          <w:rFonts w:asciiTheme="minorHAnsi" w:hAnsiTheme="minorHAnsi" w:cs="Arial"/>
          <w:sz w:val="20"/>
          <w:szCs w:val="20"/>
        </w:rPr>
        <w:t>on 6 July 2017</w:t>
      </w:r>
      <w:r>
        <w:rPr>
          <w:rFonts w:asciiTheme="minorHAnsi" w:hAnsiTheme="minorHAnsi" w:cs="Arial"/>
          <w:sz w:val="20"/>
          <w:szCs w:val="20"/>
        </w:rPr>
        <w:t xml:space="preserve">. It addresses the practical problems faced by funds in complying with certain Section 14 deadlines, in light of the requirements of the Income Tax Act changes, effective 1 March 2017. These changes require that tax directives be applied for, in respect of all transferring members. </w:t>
      </w:r>
    </w:p>
    <w:p w:rsidR="00DE7618" w:rsidRDefault="00DE7618" w:rsidP="00DE7618">
      <w:pPr>
        <w:jc w:val="both"/>
        <w:rPr>
          <w:rFonts w:asciiTheme="minorHAnsi" w:hAnsiTheme="minorHAnsi" w:cs="Arial"/>
          <w:sz w:val="20"/>
          <w:szCs w:val="20"/>
        </w:rPr>
      </w:pPr>
    </w:p>
    <w:tbl>
      <w:tblPr>
        <w:tblStyle w:val="TableGrid"/>
        <w:tblW w:w="8364" w:type="dxa"/>
        <w:tblInd w:w="108" w:type="dxa"/>
        <w:tblLayout w:type="fixed"/>
        <w:tblLook w:val="04A0" w:firstRow="1" w:lastRow="0" w:firstColumn="1" w:lastColumn="0" w:noHBand="0" w:noVBand="1"/>
      </w:tblPr>
      <w:tblGrid>
        <w:gridCol w:w="1418"/>
        <w:gridCol w:w="1984"/>
        <w:gridCol w:w="1985"/>
        <w:gridCol w:w="1559"/>
        <w:gridCol w:w="1418"/>
      </w:tblGrid>
      <w:tr w:rsidR="008B399A" w:rsidRPr="008B399A" w:rsidTr="008B399A">
        <w:tc>
          <w:tcPr>
            <w:tcW w:w="1418" w:type="dxa"/>
            <w:tcBorders>
              <w:bottom w:val="nil"/>
            </w:tcBorders>
            <w:shd w:val="clear" w:color="auto" w:fill="C41226"/>
          </w:tcPr>
          <w:p w:rsidR="00DE7618" w:rsidRPr="008B399A" w:rsidRDefault="00DE7618" w:rsidP="003B2638">
            <w:pPr>
              <w:jc w:val="both"/>
              <w:rPr>
                <w:rFonts w:asciiTheme="minorHAnsi" w:hAnsiTheme="minorHAnsi" w:cs="Arial"/>
                <w:color w:val="FFFFFF" w:themeColor="background1"/>
                <w:sz w:val="19"/>
                <w:szCs w:val="19"/>
              </w:rPr>
            </w:pPr>
            <w:r w:rsidRPr="008B399A">
              <w:rPr>
                <w:rFonts w:asciiTheme="minorHAnsi" w:hAnsiTheme="minorHAnsi" w:cs="Arial"/>
                <w:b/>
                <w:color w:val="FFFFFF" w:themeColor="background1"/>
                <w:sz w:val="19"/>
                <w:szCs w:val="19"/>
              </w:rPr>
              <w:t>Section 14 transfer applications submitted after 6 July 2017</w:t>
            </w:r>
          </w:p>
        </w:tc>
        <w:tc>
          <w:tcPr>
            <w:tcW w:w="3969" w:type="dxa"/>
            <w:gridSpan w:val="2"/>
            <w:tcBorders>
              <w:bottom w:val="nil"/>
            </w:tcBorders>
            <w:shd w:val="clear" w:color="auto" w:fill="C41226"/>
          </w:tcPr>
          <w:p w:rsidR="00DE7618" w:rsidRPr="008B399A" w:rsidRDefault="00DE7618" w:rsidP="003B2638">
            <w:pPr>
              <w:jc w:val="both"/>
              <w:rPr>
                <w:rFonts w:asciiTheme="minorHAnsi" w:hAnsiTheme="minorHAnsi" w:cs="Arial"/>
                <w:b/>
                <w:color w:val="FFFFFF" w:themeColor="background1"/>
                <w:sz w:val="19"/>
                <w:szCs w:val="19"/>
              </w:rPr>
            </w:pPr>
            <w:r w:rsidRPr="008B399A">
              <w:rPr>
                <w:rFonts w:asciiTheme="minorHAnsi" w:hAnsiTheme="minorHAnsi" w:cs="Arial"/>
                <w:b/>
                <w:color w:val="FFFFFF" w:themeColor="background1"/>
                <w:sz w:val="19"/>
                <w:szCs w:val="19"/>
              </w:rPr>
              <w:t>Approved but unpaid Section 14 Transfers</w:t>
            </w:r>
          </w:p>
          <w:p w:rsidR="00DE7618" w:rsidRPr="008B399A" w:rsidRDefault="00DE7618" w:rsidP="003B2638">
            <w:pPr>
              <w:jc w:val="both"/>
              <w:rPr>
                <w:rFonts w:asciiTheme="minorHAnsi" w:hAnsiTheme="minorHAnsi" w:cs="Arial"/>
                <w:color w:val="FFFFFF" w:themeColor="background1"/>
                <w:sz w:val="19"/>
                <w:szCs w:val="19"/>
              </w:rPr>
            </w:pPr>
          </w:p>
          <w:p w:rsidR="00DE7618" w:rsidRPr="008B399A" w:rsidRDefault="00DE7618" w:rsidP="003B2638">
            <w:pPr>
              <w:jc w:val="both"/>
              <w:rPr>
                <w:rFonts w:asciiTheme="minorHAnsi" w:hAnsiTheme="minorHAnsi" w:cs="Arial"/>
                <w:b/>
                <w:color w:val="FFFFFF" w:themeColor="background1"/>
                <w:sz w:val="19"/>
                <w:szCs w:val="19"/>
              </w:rPr>
            </w:pPr>
            <w:r w:rsidRPr="008B399A">
              <w:rPr>
                <w:rFonts w:asciiTheme="minorHAnsi" w:hAnsiTheme="minorHAnsi" w:cs="Arial"/>
                <w:color w:val="FFFFFF" w:themeColor="background1"/>
                <w:sz w:val="19"/>
                <w:szCs w:val="19"/>
              </w:rPr>
              <w:t>Exemptions were granted to Section 14 transfers approved by the FSB but unpaid, as follows:</w:t>
            </w:r>
          </w:p>
        </w:tc>
        <w:tc>
          <w:tcPr>
            <w:tcW w:w="1559" w:type="dxa"/>
            <w:tcBorders>
              <w:bottom w:val="nil"/>
            </w:tcBorders>
            <w:shd w:val="clear" w:color="auto" w:fill="C41226"/>
          </w:tcPr>
          <w:p w:rsidR="00DE7618" w:rsidRPr="008B399A" w:rsidRDefault="00DE7618" w:rsidP="003B2638">
            <w:pPr>
              <w:jc w:val="both"/>
              <w:rPr>
                <w:rFonts w:asciiTheme="minorHAnsi" w:hAnsiTheme="minorHAnsi" w:cs="Arial"/>
                <w:color w:val="FFFFFF" w:themeColor="background1"/>
                <w:sz w:val="19"/>
                <w:szCs w:val="19"/>
              </w:rPr>
            </w:pPr>
            <w:r w:rsidRPr="008B399A">
              <w:rPr>
                <w:rFonts w:asciiTheme="minorHAnsi" w:hAnsiTheme="minorHAnsi" w:cs="Arial"/>
                <w:b/>
                <w:color w:val="FFFFFF" w:themeColor="background1"/>
                <w:sz w:val="19"/>
                <w:szCs w:val="19"/>
              </w:rPr>
              <w:t xml:space="preserve">Section 14 transfers submitted to the FSB but unapproved </w:t>
            </w:r>
          </w:p>
        </w:tc>
        <w:tc>
          <w:tcPr>
            <w:tcW w:w="1418" w:type="dxa"/>
            <w:tcBorders>
              <w:bottom w:val="nil"/>
            </w:tcBorders>
            <w:shd w:val="clear" w:color="auto" w:fill="C41226"/>
          </w:tcPr>
          <w:p w:rsidR="00DE7618" w:rsidRPr="008B399A" w:rsidRDefault="00DE7618" w:rsidP="003B2638">
            <w:pPr>
              <w:jc w:val="both"/>
              <w:rPr>
                <w:rFonts w:asciiTheme="minorHAnsi" w:hAnsiTheme="minorHAnsi" w:cs="Arial"/>
                <w:color w:val="FFFFFF" w:themeColor="background1"/>
                <w:sz w:val="19"/>
                <w:szCs w:val="19"/>
              </w:rPr>
            </w:pPr>
            <w:r w:rsidRPr="008B399A">
              <w:rPr>
                <w:rFonts w:asciiTheme="minorHAnsi" w:hAnsiTheme="minorHAnsi" w:cs="Arial"/>
                <w:b/>
                <w:color w:val="FFFFFF" w:themeColor="background1"/>
                <w:sz w:val="19"/>
                <w:szCs w:val="19"/>
              </w:rPr>
              <w:t>Corrections to Section 14s approved by the FSB</w:t>
            </w:r>
          </w:p>
        </w:tc>
      </w:tr>
      <w:tr w:rsidR="00DE7618" w:rsidTr="008B399A">
        <w:tc>
          <w:tcPr>
            <w:tcW w:w="1418" w:type="dxa"/>
            <w:tcBorders>
              <w:top w:val="nil"/>
              <w:left w:val="nil"/>
              <w:bottom w:val="nil"/>
              <w:right w:val="single" w:sz="4" w:space="0" w:color="auto"/>
            </w:tcBorders>
            <w:shd w:val="clear" w:color="auto" w:fill="D9D9D9" w:themeFill="background1" w:themeFillShade="D9"/>
          </w:tcPr>
          <w:p w:rsidR="00DE7618" w:rsidRPr="00C64225" w:rsidRDefault="00DE7618" w:rsidP="003B2638">
            <w:pPr>
              <w:jc w:val="both"/>
              <w:rPr>
                <w:rFonts w:asciiTheme="minorHAnsi" w:hAnsiTheme="minorHAnsi" w:cs="Arial"/>
                <w:sz w:val="19"/>
                <w:szCs w:val="19"/>
              </w:rPr>
            </w:pPr>
            <w:r w:rsidRPr="00C64225">
              <w:rPr>
                <w:rFonts w:asciiTheme="minorHAnsi" w:hAnsiTheme="minorHAnsi" w:cs="Arial"/>
                <w:sz w:val="19"/>
                <w:szCs w:val="19"/>
              </w:rPr>
              <w:t>All Section 14</w:t>
            </w:r>
            <w:r>
              <w:rPr>
                <w:rFonts w:asciiTheme="minorHAnsi" w:hAnsiTheme="minorHAnsi" w:cs="Arial"/>
                <w:sz w:val="19"/>
                <w:szCs w:val="19"/>
              </w:rPr>
              <w:t xml:space="preserve"> applications</w:t>
            </w:r>
            <w:r w:rsidRPr="00C64225">
              <w:rPr>
                <w:rFonts w:asciiTheme="minorHAnsi" w:hAnsiTheme="minorHAnsi" w:cs="Arial"/>
                <w:sz w:val="19"/>
                <w:szCs w:val="19"/>
              </w:rPr>
              <w:t xml:space="preserve"> submitted to the FSB after 6 July 2017 must contain the tax numbers of all transferring members. This must be certified by the transferor fund, as part of the Section 14</w:t>
            </w:r>
            <w:r>
              <w:rPr>
                <w:rFonts w:asciiTheme="minorHAnsi" w:hAnsiTheme="minorHAnsi" w:cs="Arial"/>
                <w:sz w:val="19"/>
                <w:szCs w:val="19"/>
              </w:rPr>
              <w:t xml:space="preserve"> application</w:t>
            </w:r>
            <w:r w:rsidRPr="00C64225">
              <w:rPr>
                <w:rFonts w:asciiTheme="minorHAnsi" w:hAnsiTheme="minorHAnsi" w:cs="Arial"/>
                <w:sz w:val="19"/>
                <w:szCs w:val="19"/>
              </w:rPr>
              <w:t>.</w:t>
            </w:r>
          </w:p>
        </w:tc>
        <w:tc>
          <w:tcPr>
            <w:tcW w:w="1984" w:type="dxa"/>
            <w:tcBorders>
              <w:top w:val="nil"/>
              <w:left w:val="single" w:sz="4" w:space="0" w:color="auto"/>
              <w:bottom w:val="nil"/>
              <w:right w:val="single" w:sz="4" w:space="0" w:color="auto"/>
            </w:tcBorders>
            <w:shd w:val="clear" w:color="auto" w:fill="EEECE1" w:themeFill="background2"/>
          </w:tcPr>
          <w:p w:rsidR="00DE7618" w:rsidRPr="00C64225" w:rsidRDefault="00DE7618" w:rsidP="003B2638">
            <w:pPr>
              <w:jc w:val="both"/>
              <w:rPr>
                <w:rFonts w:asciiTheme="minorHAnsi" w:hAnsiTheme="minorHAnsi" w:cs="Arial"/>
                <w:sz w:val="19"/>
                <w:szCs w:val="19"/>
              </w:rPr>
            </w:pPr>
            <w:r w:rsidRPr="00C64225">
              <w:rPr>
                <w:rFonts w:asciiTheme="minorHAnsi" w:hAnsiTheme="minorHAnsi" w:cs="Arial"/>
                <w:b/>
                <w:sz w:val="19"/>
                <w:szCs w:val="19"/>
              </w:rPr>
              <w:t>Section 14 transfers that were approved by the FSB on or after 1 January 2017</w:t>
            </w:r>
            <w:r w:rsidRPr="00C64225">
              <w:rPr>
                <w:rFonts w:asciiTheme="minorHAnsi" w:hAnsiTheme="minorHAnsi" w:cs="Arial"/>
                <w:sz w:val="19"/>
                <w:szCs w:val="19"/>
              </w:rPr>
              <w:t>: This applies to funds that had Section 14 transfers approved by the FSB on or after 1 January 2017, but had not paid the transferring members’ benefits over to the transferor fund as at 1 March 2017. Such transferor funds had an extension to the 60 day period to pay over these assets, until 31 August 2017, in order to obtain the tax numbers of transferring members.</w:t>
            </w:r>
          </w:p>
        </w:tc>
        <w:tc>
          <w:tcPr>
            <w:tcW w:w="1985" w:type="dxa"/>
            <w:tcBorders>
              <w:top w:val="nil"/>
              <w:left w:val="single" w:sz="4" w:space="0" w:color="auto"/>
              <w:bottom w:val="nil"/>
              <w:right w:val="single" w:sz="4" w:space="0" w:color="auto"/>
            </w:tcBorders>
          </w:tcPr>
          <w:p w:rsidR="00DE7618" w:rsidRPr="00C64225" w:rsidRDefault="00DE7618" w:rsidP="003B2638">
            <w:pPr>
              <w:jc w:val="both"/>
              <w:rPr>
                <w:rFonts w:asciiTheme="minorHAnsi" w:hAnsiTheme="minorHAnsi" w:cs="Arial"/>
                <w:sz w:val="19"/>
                <w:szCs w:val="19"/>
              </w:rPr>
            </w:pPr>
            <w:r w:rsidRPr="00C64225">
              <w:rPr>
                <w:rFonts w:asciiTheme="minorHAnsi" w:hAnsiTheme="minorHAnsi" w:cs="Arial"/>
                <w:b/>
                <w:sz w:val="19"/>
                <w:szCs w:val="19"/>
              </w:rPr>
              <w:t>Section 14 transfers with effective dates of 1 September 2016 onwards</w:t>
            </w:r>
            <w:r w:rsidRPr="00C64225">
              <w:rPr>
                <w:rFonts w:asciiTheme="minorHAnsi" w:hAnsiTheme="minorHAnsi" w:cs="Arial"/>
                <w:sz w:val="19"/>
                <w:szCs w:val="19"/>
              </w:rPr>
              <w:t>: This applies to funds that had transfer dates of 1 September 2016 onwards</w:t>
            </w:r>
            <w:r>
              <w:rPr>
                <w:rFonts w:asciiTheme="minorHAnsi" w:hAnsiTheme="minorHAnsi" w:cs="Arial"/>
                <w:sz w:val="19"/>
                <w:szCs w:val="19"/>
              </w:rPr>
              <w:t>, had obtained FSB approval of their transfers</w:t>
            </w:r>
            <w:r w:rsidRPr="00C64225">
              <w:rPr>
                <w:rFonts w:asciiTheme="minorHAnsi" w:hAnsiTheme="minorHAnsi" w:cs="Arial"/>
                <w:sz w:val="19"/>
                <w:szCs w:val="19"/>
              </w:rPr>
              <w:t>, but had not paid the transferring members’ benefits over to the transferor fund as at 1 March 2017. Such transferor funds had an extension to the 60 day period to pay over these assets, until 31 August 2017, in order to obtain the tax numbers of transferring members.</w:t>
            </w:r>
          </w:p>
        </w:tc>
        <w:tc>
          <w:tcPr>
            <w:tcW w:w="1559" w:type="dxa"/>
            <w:tcBorders>
              <w:top w:val="nil"/>
              <w:left w:val="single" w:sz="4" w:space="0" w:color="auto"/>
              <w:bottom w:val="nil"/>
              <w:right w:val="single" w:sz="4" w:space="0" w:color="auto"/>
            </w:tcBorders>
            <w:shd w:val="clear" w:color="auto" w:fill="EEECE1" w:themeFill="background2"/>
          </w:tcPr>
          <w:p w:rsidR="00DE7618" w:rsidRPr="00C64225" w:rsidRDefault="00DE7618" w:rsidP="003B2638">
            <w:pPr>
              <w:jc w:val="both"/>
              <w:rPr>
                <w:rFonts w:asciiTheme="minorHAnsi" w:hAnsiTheme="minorHAnsi" w:cs="Arial"/>
                <w:sz w:val="19"/>
                <w:szCs w:val="19"/>
              </w:rPr>
            </w:pPr>
            <w:r>
              <w:rPr>
                <w:rFonts w:asciiTheme="minorHAnsi" w:hAnsiTheme="minorHAnsi" w:cs="Arial"/>
                <w:sz w:val="19"/>
                <w:szCs w:val="19"/>
              </w:rPr>
              <w:t>This applies to</w:t>
            </w:r>
            <w:r w:rsidRPr="00C64225">
              <w:rPr>
                <w:rFonts w:asciiTheme="minorHAnsi" w:hAnsiTheme="minorHAnsi" w:cs="Arial"/>
                <w:sz w:val="19"/>
                <w:szCs w:val="19"/>
              </w:rPr>
              <w:t xml:space="preserve"> funds </w:t>
            </w:r>
            <w:r>
              <w:rPr>
                <w:rFonts w:asciiTheme="minorHAnsi" w:hAnsiTheme="minorHAnsi" w:cs="Arial"/>
                <w:sz w:val="19"/>
                <w:szCs w:val="19"/>
              </w:rPr>
              <w:t xml:space="preserve">which </w:t>
            </w:r>
            <w:r w:rsidRPr="00C64225">
              <w:rPr>
                <w:rFonts w:asciiTheme="minorHAnsi" w:hAnsiTheme="minorHAnsi" w:cs="Arial"/>
                <w:sz w:val="19"/>
                <w:szCs w:val="19"/>
              </w:rPr>
              <w:t>had submitted Section 14 applications to the FSB by 6 July 2017, but such transfers were not approved</w:t>
            </w:r>
            <w:r>
              <w:rPr>
                <w:rFonts w:asciiTheme="minorHAnsi" w:hAnsiTheme="minorHAnsi" w:cs="Arial"/>
                <w:sz w:val="19"/>
                <w:szCs w:val="19"/>
              </w:rPr>
              <w:t>. S</w:t>
            </w:r>
            <w:r w:rsidRPr="00C64225">
              <w:rPr>
                <w:rFonts w:asciiTheme="minorHAnsi" w:hAnsiTheme="minorHAnsi" w:cs="Arial"/>
                <w:sz w:val="19"/>
                <w:szCs w:val="19"/>
              </w:rPr>
              <w:t>uch funds should provide amended Section 14 applications to the FSB if they find that they do not have tax numbers for the transferring members and thus need to exclude them from the Section 14 transfer.</w:t>
            </w:r>
          </w:p>
        </w:tc>
        <w:tc>
          <w:tcPr>
            <w:tcW w:w="1418" w:type="dxa"/>
            <w:tcBorders>
              <w:top w:val="nil"/>
              <w:left w:val="single" w:sz="4" w:space="0" w:color="auto"/>
              <w:bottom w:val="nil"/>
              <w:right w:val="nil"/>
            </w:tcBorders>
            <w:shd w:val="clear" w:color="auto" w:fill="D9D9D9" w:themeFill="background1" w:themeFillShade="D9"/>
          </w:tcPr>
          <w:p w:rsidR="00DE7618" w:rsidRPr="00C64225" w:rsidRDefault="00DE7618" w:rsidP="003B2638">
            <w:pPr>
              <w:jc w:val="both"/>
              <w:rPr>
                <w:rFonts w:asciiTheme="minorHAnsi" w:hAnsiTheme="minorHAnsi" w:cs="Arial"/>
                <w:sz w:val="19"/>
                <w:szCs w:val="19"/>
              </w:rPr>
            </w:pPr>
            <w:r w:rsidRPr="00C64225">
              <w:rPr>
                <w:rFonts w:asciiTheme="minorHAnsi" w:hAnsiTheme="minorHAnsi" w:cs="Arial"/>
                <w:sz w:val="19"/>
                <w:szCs w:val="19"/>
              </w:rPr>
              <w:t>If a fund had received Section 14 approval in respect of transfers but could not pay out the Section 14 transfer as they did not have tax numbers for the transferring members, the FSB gave funds to 31 August 2017 to amend or withdraw such Section 14 applications.</w:t>
            </w:r>
          </w:p>
        </w:tc>
      </w:tr>
    </w:tbl>
    <w:p w:rsidR="00DE7618" w:rsidRPr="00C64225" w:rsidRDefault="00DE7618" w:rsidP="00DE7618">
      <w:pPr>
        <w:jc w:val="both"/>
        <w:rPr>
          <w:rFonts w:asciiTheme="minorHAnsi" w:hAnsiTheme="minorHAnsi" w:cs="Arial"/>
          <w:sz w:val="2"/>
          <w:szCs w:val="21"/>
        </w:rPr>
      </w:pPr>
    </w:p>
    <w:p w:rsidR="005F7F6C" w:rsidRPr="00DE7618" w:rsidRDefault="00800B3C" w:rsidP="000D64EB">
      <w:pPr>
        <w:pStyle w:val="NoSpacing"/>
        <w:jc w:val="both"/>
        <w:rPr>
          <w:rFonts w:asciiTheme="minorHAnsi" w:hAnsiTheme="minorHAnsi" w:cs="Arial"/>
          <w:sz w:val="2"/>
          <w:szCs w:val="21"/>
          <w:lang w:val="en-ZA"/>
        </w:rPr>
      </w:pPr>
      <w:r w:rsidRPr="003B20CE">
        <w:rPr>
          <w:rFonts w:asciiTheme="minorHAnsi" w:hAnsiTheme="minorHAnsi" w:cstheme="minorHAnsi"/>
          <w:noProof/>
          <w:szCs w:val="20"/>
          <w:lang w:val="en-ZA" w:eastAsia="en-ZA"/>
        </w:rPr>
        <w:drawing>
          <wp:anchor distT="0" distB="0" distL="114300" distR="114300" simplePos="0" relativeHeight="251683840" behindDoc="1" locked="0" layoutInCell="1" allowOverlap="1" wp14:anchorId="29577C80" wp14:editId="1C4FF89E">
            <wp:simplePos x="0" y="0"/>
            <wp:positionH relativeFrom="column">
              <wp:posOffset>-175895</wp:posOffset>
            </wp:positionH>
            <wp:positionV relativeFrom="paragraph">
              <wp:posOffset>90170</wp:posOffset>
            </wp:positionV>
            <wp:extent cx="5816600" cy="9334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MG\Prop\foot.jpg"/>
                    <pic:cNvPicPr>
                      <a:picLocks noChangeAspect="1" noChangeArrowheads="1"/>
                    </pic:cNvPicPr>
                  </pic:nvPicPr>
                  <pic:blipFill>
                    <a:blip r:embed="rId9" cstate="print"/>
                    <a:srcRect/>
                    <a:stretch>
                      <a:fillRect/>
                    </a:stretch>
                  </pic:blipFill>
                  <pic:spPr bwMode="auto">
                    <a:xfrm>
                      <a:off x="0" y="0"/>
                      <a:ext cx="5816600" cy="933450"/>
                    </a:xfrm>
                    <a:prstGeom prst="rect">
                      <a:avLst/>
                    </a:prstGeom>
                    <a:noFill/>
                    <a:ln w="9525">
                      <a:noFill/>
                      <a:miter lim="800000"/>
                      <a:headEnd/>
                      <a:tailEnd/>
                    </a:ln>
                  </pic:spPr>
                </pic:pic>
              </a:graphicData>
            </a:graphic>
            <wp14:sizeRelH relativeFrom="margin">
              <wp14:pctWidth>0</wp14:pctWidth>
            </wp14:sizeRelH>
          </wp:anchor>
        </w:drawing>
      </w:r>
      <w:r w:rsidR="00A24C53">
        <w:rPr>
          <w:rFonts w:asciiTheme="minorHAnsi" w:hAnsiTheme="minorHAnsi" w:cs="Arial"/>
          <w:noProof/>
          <w:sz w:val="21"/>
          <w:szCs w:val="21"/>
          <w:lang w:val="en-ZA" w:eastAsia="en-ZA"/>
        </w:rPr>
        <mc:AlternateContent>
          <mc:Choice Requires="wps">
            <w:drawing>
              <wp:anchor distT="0" distB="0" distL="114300" distR="114300" simplePos="0" relativeHeight="251691008" behindDoc="0" locked="0" layoutInCell="1" allowOverlap="1">
                <wp:simplePos x="0" y="0"/>
                <wp:positionH relativeFrom="column">
                  <wp:posOffset>3005455</wp:posOffset>
                </wp:positionH>
                <wp:positionV relativeFrom="paragraph">
                  <wp:posOffset>6369685</wp:posOffset>
                </wp:positionV>
                <wp:extent cx="2444750" cy="2759075"/>
                <wp:effectExtent l="12700" t="571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759075"/>
                        </a:xfrm>
                        <a:prstGeom prst="rect">
                          <a:avLst/>
                        </a:prstGeom>
                        <a:solidFill>
                          <a:srgbClr val="FFFFFF"/>
                        </a:solidFill>
                        <a:ln w="9525">
                          <a:solidFill>
                            <a:srgbClr val="000000"/>
                          </a:solidFill>
                          <a:miter lim="800000"/>
                          <a:headEnd/>
                          <a:tailEnd/>
                        </a:ln>
                      </wps:spPr>
                      <wps:txbx>
                        <w:txbxContent>
                          <w:p w:rsidR="00755CAF" w:rsidRPr="00DC3819" w:rsidRDefault="00755CAF" w:rsidP="00755CAF">
                            <w:pPr>
                              <w:pStyle w:val="NoSpacing"/>
                              <w:spacing w:line="228" w:lineRule="auto"/>
                              <w:jc w:val="both"/>
                              <w:rPr>
                                <w:rFonts w:asciiTheme="minorHAnsi" w:hAnsiTheme="minorHAnsi" w:cs="Arial"/>
                                <w:b/>
                                <w:sz w:val="19"/>
                                <w:szCs w:val="19"/>
                              </w:rPr>
                            </w:pPr>
                            <w:r w:rsidRPr="00DC3819">
                              <w:rPr>
                                <w:rFonts w:asciiTheme="minorHAnsi" w:hAnsiTheme="minorHAnsi" w:cs="Arial"/>
                                <w:b/>
                                <w:sz w:val="19"/>
                                <w:szCs w:val="19"/>
                              </w:rPr>
                              <w:t>FSB’s Unclaimed Benefits Search Engine</w:t>
                            </w: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established an unclaimed benefits search engine, which affords funds’ former members with an opportunity to locate their benefits, should they have left these unpaid in former employer’s funds. Funds must ensure that all their unclaimed benefits are uploaded onto this site and ensure that these unclaimed benefits listings are updated. This search engine can be found on:</w:t>
                            </w:r>
                          </w:p>
                          <w:p w:rsidR="00755CAF" w:rsidRPr="00DC3819" w:rsidRDefault="004759E3" w:rsidP="00755CAF">
                            <w:pPr>
                              <w:spacing w:line="228" w:lineRule="auto"/>
                              <w:jc w:val="both"/>
                              <w:rPr>
                                <w:rFonts w:asciiTheme="minorHAnsi" w:hAnsiTheme="minorHAnsi" w:cs="Arial"/>
                                <w:sz w:val="19"/>
                                <w:szCs w:val="19"/>
                              </w:rPr>
                            </w:pPr>
                            <w:hyperlink r:id="rId10" w:history="1">
                              <w:r w:rsidR="00755CAF" w:rsidRPr="00DC3819">
                                <w:rPr>
                                  <w:rStyle w:val="Hyperlink"/>
                                  <w:rFonts w:asciiTheme="minorHAnsi" w:hAnsiTheme="minorHAnsi" w:cs="Arial"/>
                                  <w:sz w:val="19"/>
                                  <w:szCs w:val="19"/>
                                </w:rPr>
                                <w:t>https://www.fsb.co.za/Departments/retirementFund/searches</w:t>
                              </w:r>
                            </w:hyperlink>
                            <w:r w:rsidR="00755CAF" w:rsidRPr="00DC3819">
                              <w:rPr>
                                <w:rFonts w:asciiTheme="minorHAnsi" w:hAnsiTheme="minorHAnsi" w:cs="Arial"/>
                                <w:sz w:val="19"/>
                                <w:szCs w:val="19"/>
                              </w:rPr>
                              <w:t xml:space="preserve">. </w:t>
                            </w:r>
                          </w:p>
                          <w:p w:rsidR="00755CAF" w:rsidRPr="00DC3819" w:rsidRDefault="00755CAF" w:rsidP="00755CAF">
                            <w:pPr>
                              <w:spacing w:line="228" w:lineRule="auto"/>
                              <w:jc w:val="both"/>
                              <w:rPr>
                                <w:rFonts w:asciiTheme="minorHAnsi" w:hAnsiTheme="minorHAnsi" w:cs="Arial"/>
                                <w:sz w:val="19"/>
                                <w:szCs w:val="19"/>
                              </w:rPr>
                            </w:pP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has established a process for former members</w:t>
                            </w:r>
                            <w:r>
                              <w:rPr>
                                <w:rFonts w:asciiTheme="minorHAnsi" w:hAnsiTheme="minorHAnsi" w:cs="Arial"/>
                                <w:sz w:val="19"/>
                                <w:szCs w:val="19"/>
                              </w:rPr>
                              <w:t>,</w:t>
                            </w:r>
                            <w:r w:rsidRPr="00DC3819">
                              <w:rPr>
                                <w:rFonts w:asciiTheme="minorHAnsi" w:hAnsiTheme="minorHAnsi" w:cs="Arial"/>
                                <w:sz w:val="19"/>
                                <w:szCs w:val="19"/>
                              </w:rPr>
                              <w:t xml:space="preserve"> in respect of this unclaimed benefits search engine</w:t>
                            </w:r>
                            <w:r>
                              <w:rPr>
                                <w:rFonts w:asciiTheme="minorHAnsi" w:hAnsiTheme="minorHAnsi" w:cs="Arial"/>
                                <w:sz w:val="19"/>
                                <w:szCs w:val="19"/>
                              </w:rPr>
                              <w:t>. This</w:t>
                            </w:r>
                            <w:r w:rsidRPr="00DC3819">
                              <w:rPr>
                                <w:rFonts w:asciiTheme="minorHAnsi" w:hAnsiTheme="minorHAnsi" w:cs="Arial"/>
                                <w:sz w:val="19"/>
                                <w:szCs w:val="19"/>
                              </w:rPr>
                              <w:t xml:space="preserve"> can be found on: </w:t>
                            </w:r>
                          </w:p>
                          <w:p w:rsidR="00755CAF" w:rsidRPr="00DC3819" w:rsidRDefault="004759E3" w:rsidP="00755CAF">
                            <w:pPr>
                              <w:spacing w:line="228" w:lineRule="auto"/>
                              <w:jc w:val="both"/>
                              <w:rPr>
                                <w:rFonts w:cs="Arial"/>
                                <w:sz w:val="19"/>
                                <w:szCs w:val="19"/>
                              </w:rPr>
                            </w:pPr>
                            <w:hyperlink r:id="rId11" w:history="1">
                              <w:r w:rsidR="00755CAF" w:rsidRPr="00DC3819">
                                <w:rPr>
                                  <w:rStyle w:val="Hyperlink"/>
                                  <w:rFonts w:asciiTheme="minorHAnsi" w:hAnsiTheme="minorHAnsi" w:cs="Arial"/>
                                  <w:sz w:val="19"/>
                                  <w:szCs w:val="19"/>
                                </w:rPr>
                                <w:t>https://www.fsb.co.za/Departments/retirementFund/Documents/UNCLAIMED%20BENEFITS%20DATA%20SEARCHES.pdf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6.65pt;margin-top:501.55pt;width:192.5pt;height:2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">
                <v:textbox>
                  <w:txbxContent>
                    <w:p w:rsidR="00755CAF" w:rsidRPr="00DC3819" w:rsidRDefault="00755CAF" w:rsidP="00755CAF">
                      <w:pPr>
                        <w:pStyle w:val="NoSpacing"/>
                        <w:spacing w:line="228" w:lineRule="auto"/>
                        <w:jc w:val="both"/>
                        <w:rPr>
                          <w:rFonts w:asciiTheme="minorHAnsi" w:hAnsiTheme="minorHAnsi" w:cs="Arial"/>
                          <w:b/>
                          <w:sz w:val="19"/>
                          <w:szCs w:val="19"/>
                        </w:rPr>
                      </w:pPr>
                      <w:r w:rsidRPr="00DC3819">
                        <w:rPr>
                          <w:rFonts w:asciiTheme="minorHAnsi" w:hAnsiTheme="minorHAnsi" w:cs="Arial"/>
                          <w:b/>
                          <w:sz w:val="19"/>
                          <w:szCs w:val="19"/>
                        </w:rPr>
                        <w:t>FSB’s Unclaimed Benefits Search Engine</w:t>
                      </w: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established an unclaimed benefits search engine, which affords funds’ former members with an opportunity to locate their benefits, should they have left these unpaid in former employer’s funds. Funds must ensure that all their unclaimed benefits are uploaded onto this site and ensure that these unclaimed benefits listings are updated. This search engine can be found on:</w:t>
                      </w:r>
                    </w:p>
                    <w:p w:rsidR="00755CAF" w:rsidRPr="00DC3819" w:rsidRDefault="004759E3" w:rsidP="00755CAF">
                      <w:pPr>
                        <w:spacing w:line="228" w:lineRule="auto"/>
                        <w:jc w:val="both"/>
                        <w:rPr>
                          <w:rFonts w:asciiTheme="minorHAnsi" w:hAnsiTheme="minorHAnsi" w:cs="Arial"/>
                          <w:sz w:val="19"/>
                          <w:szCs w:val="19"/>
                        </w:rPr>
                      </w:pPr>
                      <w:hyperlink r:id="rId12" w:history="1">
                        <w:r w:rsidR="00755CAF" w:rsidRPr="00DC3819">
                          <w:rPr>
                            <w:rStyle w:val="Hyperlink"/>
                            <w:rFonts w:asciiTheme="minorHAnsi" w:hAnsiTheme="minorHAnsi" w:cs="Arial"/>
                            <w:sz w:val="19"/>
                            <w:szCs w:val="19"/>
                          </w:rPr>
                          <w:t>https://www.fsb.co.za/Departments/retirementFund/searches</w:t>
                        </w:r>
                      </w:hyperlink>
                      <w:r w:rsidR="00755CAF" w:rsidRPr="00DC3819">
                        <w:rPr>
                          <w:rFonts w:asciiTheme="minorHAnsi" w:hAnsiTheme="minorHAnsi" w:cs="Arial"/>
                          <w:sz w:val="19"/>
                          <w:szCs w:val="19"/>
                        </w:rPr>
                        <w:t xml:space="preserve">. </w:t>
                      </w:r>
                    </w:p>
                    <w:p w:rsidR="00755CAF" w:rsidRPr="00DC3819" w:rsidRDefault="00755CAF" w:rsidP="00755CAF">
                      <w:pPr>
                        <w:spacing w:line="228" w:lineRule="auto"/>
                        <w:jc w:val="both"/>
                        <w:rPr>
                          <w:rFonts w:asciiTheme="minorHAnsi" w:hAnsiTheme="minorHAnsi" w:cs="Arial"/>
                          <w:sz w:val="19"/>
                          <w:szCs w:val="19"/>
                        </w:rPr>
                      </w:pPr>
                    </w:p>
                    <w:p w:rsidR="00755CAF" w:rsidRPr="00DC3819" w:rsidRDefault="00755CAF" w:rsidP="00755CAF">
                      <w:pPr>
                        <w:spacing w:line="228" w:lineRule="auto"/>
                        <w:jc w:val="both"/>
                        <w:rPr>
                          <w:rFonts w:asciiTheme="minorHAnsi" w:hAnsiTheme="minorHAnsi" w:cs="Arial"/>
                          <w:sz w:val="19"/>
                          <w:szCs w:val="19"/>
                        </w:rPr>
                      </w:pPr>
                      <w:r w:rsidRPr="00DC3819">
                        <w:rPr>
                          <w:rFonts w:asciiTheme="minorHAnsi" w:hAnsiTheme="minorHAnsi" w:cs="Arial"/>
                          <w:sz w:val="19"/>
                          <w:szCs w:val="19"/>
                        </w:rPr>
                        <w:t>The FSB has established a process for former members</w:t>
                      </w:r>
                      <w:r>
                        <w:rPr>
                          <w:rFonts w:asciiTheme="minorHAnsi" w:hAnsiTheme="minorHAnsi" w:cs="Arial"/>
                          <w:sz w:val="19"/>
                          <w:szCs w:val="19"/>
                        </w:rPr>
                        <w:t>,</w:t>
                      </w:r>
                      <w:r w:rsidRPr="00DC3819">
                        <w:rPr>
                          <w:rFonts w:asciiTheme="minorHAnsi" w:hAnsiTheme="minorHAnsi" w:cs="Arial"/>
                          <w:sz w:val="19"/>
                          <w:szCs w:val="19"/>
                        </w:rPr>
                        <w:t xml:space="preserve"> in respect of this unclaimed benefits search engine</w:t>
                      </w:r>
                      <w:r>
                        <w:rPr>
                          <w:rFonts w:asciiTheme="minorHAnsi" w:hAnsiTheme="minorHAnsi" w:cs="Arial"/>
                          <w:sz w:val="19"/>
                          <w:szCs w:val="19"/>
                        </w:rPr>
                        <w:t>. This</w:t>
                      </w:r>
                      <w:r w:rsidRPr="00DC3819">
                        <w:rPr>
                          <w:rFonts w:asciiTheme="minorHAnsi" w:hAnsiTheme="minorHAnsi" w:cs="Arial"/>
                          <w:sz w:val="19"/>
                          <w:szCs w:val="19"/>
                        </w:rPr>
                        <w:t xml:space="preserve"> can be found on: </w:t>
                      </w:r>
                    </w:p>
                    <w:p w:rsidR="00755CAF" w:rsidRPr="00DC3819" w:rsidRDefault="004759E3" w:rsidP="00755CAF">
                      <w:pPr>
                        <w:spacing w:line="228" w:lineRule="auto"/>
                        <w:jc w:val="both"/>
                        <w:rPr>
                          <w:rFonts w:cs="Arial"/>
                          <w:sz w:val="19"/>
                          <w:szCs w:val="19"/>
                        </w:rPr>
                      </w:pPr>
                      <w:hyperlink r:id="rId13" w:history="1">
                        <w:r w:rsidR="00755CAF" w:rsidRPr="00DC3819">
                          <w:rPr>
                            <w:rStyle w:val="Hyperlink"/>
                            <w:rFonts w:asciiTheme="minorHAnsi" w:hAnsiTheme="minorHAnsi" w:cs="Arial"/>
                            <w:sz w:val="19"/>
                            <w:szCs w:val="19"/>
                          </w:rPr>
                          <w:t>https://www.fsb.co.za/Departments/retirementFund/Documents/UNCLAIMED%20BENEFITS%20DATA%20SEARCHES.pdf</w:t>
                        </w:r>
                      </w:hyperlink>
                    </w:p>
                  </w:txbxContent>
                </v:textbox>
              </v:shape>
            </w:pict>
          </mc:Fallback>
        </mc:AlternateContent>
      </w:r>
    </w:p>
    <w:sectPr w:rsidR="005F7F6C" w:rsidRPr="00DE7618" w:rsidSect="00104D8E">
      <w:footerReference w:type="default" r:id="rId14"/>
      <w:headerReference w:type="first" r:id="rId15"/>
      <w:type w:val="continuous"/>
      <w:pgSz w:w="11906" w:h="16838" w:code="9"/>
      <w:pgMar w:top="1440" w:right="1416" w:bottom="1440" w:left="1797" w:header="2098" w:footer="567"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E3" w:rsidRDefault="004759E3">
      <w:r>
        <w:separator/>
      </w:r>
    </w:p>
  </w:endnote>
  <w:endnote w:type="continuationSeparator" w:id="0">
    <w:p w:rsidR="004759E3" w:rsidRDefault="0047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3C" w:rsidRPr="00D52C38" w:rsidRDefault="00A41D1F" w:rsidP="006F10F8">
    <w:pPr>
      <w:jc w:val="right"/>
      <w:rPr>
        <w:rFonts w:asciiTheme="minorHAnsi" w:hAnsiTheme="minorHAnsi" w:cs="Arial"/>
        <w:sz w:val="22"/>
        <w:szCs w:val="22"/>
      </w:rPr>
    </w:pPr>
    <w:r w:rsidRPr="00D52C38">
      <w:rPr>
        <w:rFonts w:asciiTheme="minorHAnsi" w:hAnsiTheme="minorHAnsi" w:cs="Arial"/>
        <w:sz w:val="22"/>
        <w:szCs w:val="22"/>
      </w:rPr>
      <w:fldChar w:fldCharType="begin"/>
    </w:r>
    <w:r w:rsidR="00C2653C" w:rsidRPr="00D52C38">
      <w:rPr>
        <w:rFonts w:asciiTheme="minorHAnsi" w:hAnsiTheme="minorHAnsi" w:cs="Arial"/>
        <w:sz w:val="22"/>
        <w:szCs w:val="22"/>
      </w:rPr>
      <w:instrText xml:space="preserve"> PAGE   \* MERGEFORMAT </w:instrText>
    </w:r>
    <w:r w:rsidRPr="00D52C38">
      <w:rPr>
        <w:rFonts w:asciiTheme="minorHAnsi" w:hAnsiTheme="minorHAnsi" w:cs="Arial"/>
        <w:sz w:val="22"/>
        <w:szCs w:val="22"/>
      </w:rPr>
      <w:fldChar w:fldCharType="separate"/>
    </w:r>
    <w:r w:rsidR="00A24C53">
      <w:rPr>
        <w:rFonts w:asciiTheme="minorHAnsi" w:hAnsiTheme="minorHAnsi" w:cs="Arial"/>
        <w:noProof/>
        <w:sz w:val="22"/>
        <w:szCs w:val="22"/>
      </w:rPr>
      <w:t>2</w:t>
    </w:r>
    <w:r w:rsidRPr="00D52C38">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E3" w:rsidRDefault="004759E3">
      <w:r>
        <w:separator/>
      </w:r>
    </w:p>
  </w:footnote>
  <w:footnote w:type="continuationSeparator" w:id="0">
    <w:p w:rsidR="004759E3" w:rsidRDefault="0047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24" w:rsidRPr="006F10F8" w:rsidRDefault="000F34A9" w:rsidP="006F10F8">
    <w:pPr>
      <w:pStyle w:val="Header"/>
    </w:pPr>
    <w:r w:rsidRPr="00767159">
      <w:rPr>
        <w:noProof/>
        <w:sz w:val="20"/>
        <w:szCs w:val="20"/>
        <w:lang w:eastAsia="en-ZA"/>
      </w:rPr>
      <w:drawing>
        <wp:anchor distT="0" distB="0" distL="114300" distR="114300" simplePos="0" relativeHeight="251659264" behindDoc="1" locked="0" layoutInCell="1" allowOverlap="1" wp14:anchorId="3602E978" wp14:editId="28C37590">
          <wp:simplePos x="0" y="0"/>
          <wp:positionH relativeFrom="column">
            <wp:posOffset>-1118235</wp:posOffset>
          </wp:positionH>
          <wp:positionV relativeFrom="paragraph">
            <wp:posOffset>-1402895</wp:posOffset>
          </wp:positionV>
          <wp:extent cx="7505700" cy="1485445"/>
          <wp:effectExtent l="0" t="0" r="0" b="0"/>
          <wp:wrapNone/>
          <wp:docPr id="4" name="Picture 4" descr="I:\NMG\Prop\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G\Prop\Dashboard.jpg"/>
                  <pic:cNvPicPr>
                    <a:picLocks noChangeAspect="1" noChangeArrowheads="1"/>
                  </pic:cNvPicPr>
                </pic:nvPicPr>
                <pic:blipFill>
                  <a:blip r:embed="rId1" cstate="print"/>
                  <a:srcRect/>
                  <a:stretch>
                    <a:fillRect/>
                  </a:stretch>
                </pic:blipFill>
                <pic:spPr bwMode="auto">
                  <a:xfrm>
                    <a:off x="0" y="0"/>
                    <a:ext cx="7505700" cy="1485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2E5"/>
    <w:multiLevelType w:val="hybridMultilevel"/>
    <w:tmpl w:val="372E3D52"/>
    <w:lvl w:ilvl="0" w:tplc="EC562554">
      <w:start w:val="1"/>
      <w:numFmt w:val="bullet"/>
      <w:lvlText w:val=""/>
      <w:lvlJc w:val="left"/>
      <w:pPr>
        <w:ind w:left="720" w:hanging="360"/>
      </w:pPr>
      <w:rPr>
        <w:rFonts w:ascii="Wingdings" w:hAnsi="Wingdings" w:hint="default"/>
        <w:b w:val="0"/>
        <w:i w:val="0"/>
        <w:color w:val="394049"/>
        <w:sz w:val="22"/>
      </w:rPr>
    </w:lvl>
    <w:lvl w:ilvl="1" w:tplc="F11EABD8">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2D1F29"/>
    <w:multiLevelType w:val="hybridMultilevel"/>
    <w:tmpl w:val="487AE2E2"/>
    <w:lvl w:ilvl="0" w:tplc="EC562554">
      <w:start w:val="1"/>
      <w:numFmt w:val="bullet"/>
      <w:lvlText w:val=""/>
      <w:lvlJc w:val="left"/>
      <w:pPr>
        <w:ind w:left="720" w:hanging="360"/>
      </w:pPr>
      <w:rPr>
        <w:rFonts w:ascii="Wingdings" w:hAnsi="Wingdings" w:hint="default"/>
        <w:b w:val="0"/>
        <w:i w:val="0"/>
        <w:color w:val="394049"/>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DD3452"/>
    <w:multiLevelType w:val="hybridMultilevel"/>
    <w:tmpl w:val="82CA19F0"/>
    <w:lvl w:ilvl="0" w:tplc="4880A6B8">
      <w:start w:val="1"/>
      <w:numFmt w:val="lowerLetter"/>
      <w:lvlText w:val="%1)"/>
      <w:lvlJc w:val="left"/>
      <w:pPr>
        <w:ind w:left="360" w:hanging="360"/>
      </w:pPr>
      <w:rPr>
        <w:rFonts w:ascii="Calibri" w:hAnsi="Calibri" w:hint="default"/>
        <w:b/>
        <w:i w:val="0"/>
        <w:color w:val="auto"/>
        <w:sz w:val="21"/>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4BA640C"/>
    <w:multiLevelType w:val="hybridMultilevel"/>
    <w:tmpl w:val="C928864E"/>
    <w:lvl w:ilvl="0" w:tplc="EC562554">
      <w:start w:val="1"/>
      <w:numFmt w:val="bullet"/>
      <w:lvlText w:val=""/>
      <w:lvlJc w:val="left"/>
      <w:pPr>
        <w:ind w:left="360" w:hanging="360"/>
      </w:pPr>
      <w:rPr>
        <w:rFonts w:ascii="Wingdings" w:hAnsi="Wingdings" w:hint="default"/>
        <w:b w:val="0"/>
        <w:i w:val="0"/>
        <w:color w:val="394049"/>
        <w:sz w:val="22"/>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83616FA"/>
    <w:multiLevelType w:val="hybridMultilevel"/>
    <w:tmpl w:val="3FBC8C9C"/>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F9C6AE8"/>
    <w:multiLevelType w:val="hybridMultilevel"/>
    <w:tmpl w:val="3DA8D7EC"/>
    <w:lvl w:ilvl="0" w:tplc="8CDC61B8">
      <w:start w:val="1"/>
      <w:numFmt w:val="decimal"/>
      <w:lvlText w:val="%1."/>
      <w:lvlJc w:val="left"/>
      <w:pPr>
        <w:ind w:left="360" w:hanging="360"/>
      </w:pPr>
      <w:rPr>
        <w:rFonts w:hint="default"/>
        <w:b/>
        <w:i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C16AE0"/>
    <w:multiLevelType w:val="hybridMultilevel"/>
    <w:tmpl w:val="D744C4D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6BC3067"/>
    <w:multiLevelType w:val="hybridMultilevel"/>
    <w:tmpl w:val="2F6CC928"/>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8A02C70"/>
    <w:multiLevelType w:val="hybridMultilevel"/>
    <w:tmpl w:val="0C36CA2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A734755"/>
    <w:multiLevelType w:val="hybridMultilevel"/>
    <w:tmpl w:val="78C6C638"/>
    <w:lvl w:ilvl="0" w:tplc="EC562554">
      <w:start w:val="1"/>
      <w:numFmt w:val="bullet"/>
      <w:lvlText w:val=""/>
      <w:lvlJc w:val="left"/>
      <w:pPr>
        <w:ind w:left="720" w:hanging="360"/>
      </w:pPr>
      <w:rPr>
        <w:rFonts w:ascii="Wingdings" w:hAnsi="Wingdings" w:hint="default"/>
        <w:b w:val="0"/>
        <w:i w:val="0"/>
        <w:color w:val="394049"/>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684AFE"/>
    <w:multiLevelType w:val="hybridMultilevel"/>
    <w:tmpl w:val="496C2EDA"/>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319D0975"/>
    <w:multiLevelType w:val="hybridMultilevel"/>
    <w:tmpl w:val="19C4F99E"/>
    <w:lvl w:ilvl="0" w:tplc="EC562554">
      <w:start w:val="1"/>
      <w:numFmt w:val="bullet"/>
      <w:lvlText w:val=""/>
      <w:lvlJc w:val="left"/>
      <w:pPr>
        <w:ind w:left="720" w:hanging="360"/>
      </w:pPr>
      <w:rPr>
        <w:rFonts w:ascii="Wingdings" w:hAnsi="Wingdings" w:hint="default"/>
        <w:b w:val="0"/>
        <w:i w:val="0"/>
        <w:color w:val="394049"/>
        <w:sz w:val="22"/>
      </w:rPr>
    </w:lvl>
    <w:lvl w:ilvl="1" w:tplc="48C049AA">
      <w:start w:val="1"/>
      <w:numFmt w:val="bullet"/>
      <w:lvlText w:val="-"/>
      <w:lvlJc w:val="left"/>
      <w:pPr>
        <w:ind w:left="1440" w:hanging="360"/>
      </w:pPr>
      <w:rPr>
        <w:rFonts w:ascii="Arial Bold" w:hAnsi="Arial Bold" w:hint="default"/>
        <w:b/>
        <w:i w:val="0"/>
        <w:color w:val="auto"/>
        <w:sz w:val="22"/>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4D52CD"/>
    <w:multiLevelType w:val="hybridMultilevel"/>
    <w:tmpl w:val="B2C8191C"/>
    <w:lvl w:ilvl="0" w:tplc="2A94CF7C">
      <w:start w:val="1"/>
      <w:numFmt w:val="decimal"/>
      <w:lvlText w:val="%1."/>
      <w:lvlJc w:val="left"/>
      <w:pPr>
        <w:ind w:left="360" w:hanging="360"/>
      </w:pPr>
      <w:rPr>
        <w:rFonts w:hint="default"/>
        <w:b/>
        <w:i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D0495"/>
    <w:multiLevelType w:val="hybridMultilevel"/>
    <w:tmpl w:val="8854820A"/>
    <w:lvl w:ilvl="0" w:tplc="52BEAAD6">
      <w:start w:val="1"/>
      <w:numFmt w:val="upperLetter"/>
      <w:lvlText w:val="%1."/>
      <w:lvlJc w:val="left"/>
      <w:pPr>
        <w:ind w:left="360" w:hanging="360"/>
      </w:pPr>
      <w:rPr>
        <w:rFonts w:ascii="Calibri" w:hAnsi="Calibri" w:cs="Arial" w:hint="default"/>
        <w:b/>
        <w:i w:val="0"/>
        <w:sz w:val="2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A94586A"/>
    <w:multiLevelType w:val="hybridMultilevel"/>
    <w:tmpl w:val="390E42CE"/>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7372E9E"/>
    <w:multiLevelType w:val="hybridMultilevel"/>
    <w:tmpl w:val="4B92B548"/>
    <w:lvl w:ilvl="0" w:tplc="48C049AA">
      <w:start w:val="1"/>
      <w:numFmt w:val="bullet"/>
      <w:lvlText w:val="-"/>
      <w:lvlJc w:val="left"/>
      <w:pPr>
        <w:ind w:left="720" w:hanging="360"/>
      </w:pPr>
      <w:rPr>
        <w:rFonts w:ascii="Arial Bold" w:hAnsi="Arial Bold" w:hint="default"/>
        <w:b/>
        <w:i w:val="0"/>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7EC39FB"/>
    <w:multiLevelType w:val="hybridMultilevel"/>
    <w:tmpl w:val="3300EA4A"/>
    <w:lvl w:ilvl="0" w:tplc="EC562554">
      <w:start w:val="1"/>
      <w:numFmt w:val="bullet"/>
      <w:lvlText w:val=""/>
      <w:lvlJc w:val="left"/>
      <w:pPr>
        <w:ind w:left="720" w:hanging="360"/>
      </w:pPr>
      <w:rPr>
        <w:rFonts w:ascii="Wingdings" w:hAnsi="Wingdings" w:hint="default"/>
        <w:b w:val="0"/>
        <w:i w:val="0"/>
        <w:color w:val="394049"/>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85B5520"/>
    <w:multiLevelType w:val="hybridMultilevel"/>
    <w:tmpl w:val="F35CC9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B311E3E"/>
    <w:multiLevelType w:val="hybridMultilevel"/>
    <w:tmpl w:val="C7464AF6"/>
    <w:lvl w:ilvl="0" w:tplc="D9E4BE6A">
      <w:start w:val="1"/>
      <w:numFmt w:val="decimal"/>
      <w:lvlText w:val="%1."/>
      <w:lvlJc w:val="right"/>
      <w:pPr>
        <w:ind w:left="720" w:hanging="360"/>
      </w:pPr>
      <w:rPr>
        <w:rFonts w:ascii="Calibri" w:hAnsi="Calibri" w:hint="default"/>
        <w:b/>
        <w:i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67DE73A0"/>
    <w:multiLevelType w:val="hybridMultilevel"/>
    <w:tmpl w:val="3020C18C"/>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9663C43"/>
    <w:multiLevelType w:val="hybridMultilevel"/>
    <w:tmpl w:val="3E7477B0"/>
    <w:lvl w:ilvl="0" w:tplc="EC562554">
      <w:start w:val="1"/>
      <w:numFmt w:val="bullet"/>
      <w:lvlText w:val=""/>
      <w:lvlJc w:val="left"/>
      <w:pPr>
        <w:ind w:left="720" w:hanging="360"/>
      </w:pPr>
      <w:rPr>
        <w:rFonts w:ascii="Wingdings" w:hAnsi="Wingdings" w:hint="default"/>
        <w:b w:val="0"/>
        <w:i w:val="0"/>
        <w:color w:val="394049"/>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C575C43"/>
    <w:multiLevelType w:val="hybridMultilevel"/>
    <w:tmpl w:val="92624B1C"/>
    <w:lvl w:ilvl="0" w:tplc="EC562554">
      <w:start w:val="1"/>
      <w:numFmt w:val="bullet"/>
      <w:lvlText w:val=""/>
      <w:lvlJc w:val="left"/>
      <w:pPr>
        <w:ind w:left="360" w:hanging="360"/>
      </w:pPr>
      <w:rPr>
        <w:rFonts w:ascii="Wingdings" w:hAnsi="Wingdings" w:hint="default"/>
        <w:b w:val="0"/>
        <w:i w:val="0"/>
        <w:color w:val="394049"/>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0"/>
  </w:num>
  <w:num w:numId="4">
    <w:abstractNumId w:val="7"/>
  </w:num>
  <w:num w:numId="5">
    <w:abstractNumId w:val="16"/>
  </w:num>
  <w:num w:numId="6">
    <w:abstractNumId w:val="20"/>
  </w:num>
  <w:num w:numId="7">
    <w:abstractNumId w:val="11"/>
  </w:num>
  <w:num w:numId="8">
    <w:abstractNumId w:val="1"/>
  </w:num>
  <w:num w:numId="9">
    <w:abstractNumId w:val="15"/>
  </w:num>
  <w:num w:numId="10">
    <w:abstractNumId w:val="19"/>
  </w:num>
  <w:num w:numId="11">
    <w:abstractNumId w:val="9"/>
  </w:num>
  <w:num w:numId="12">
    <w:abstractNumId w:val="21"/>
  </w:num>
  <w:num w:numId="13">
    <w:abstractNumId w:val="4"/>
  </w:num>
  <w:num w:numId="14">
    <w:abstractNumId w:val="14"/>
  </w:num>
  <w:num w:numId="15">
    <w:abstractNumId w:val="5"/>
  </w:num>
  <w:num w:numId="16">
    <w:abstractNumId w:val="13"/>
  </w:num>
  <w:num w:numId="17">
    <w:abstractNumId w:val="12"/>
  </w:num>
  <w:num w:numId="18">
    <w:abstractNumId w:val="8"/>
  </w:num>
  <w:num w:numId="19">
    <w:abstractNumId w:val="6"/>
  </w:num>
  <w:num w:numId="20">
    <w:abstractNumId w:val="10"/>
  </w:num>
  <w:num w:numId="21">
    <w:abstractNumId w:val="2"/>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6f5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C4"/>
    <w:rsid w:val="0000147B"/>
    <w:rsid w:val="00003573"/>
    <w:rsid w:val="00007E18"/>
    <w:rsid w:val="0001033C"/>
    <w:rsid w:val="00011F2B"/>
    <w:rsid w:val="00012558"/>
    <w:rsid w:val="000151A7"/>
    <w:rsid w:val="00020E4F"/>
    <w:rsid w:val="00027F4E"/>
    <w:rsid w:val="00030313"/>
    <w:rsid w:val="00030AF2"/>
    <w:rsid w:val="00030B57"/>
    <w:rsid w:val="000329D2"/>
    <w:rsid w:val="00032BBF"/>
    <w:rsid w:val="00033FFC"/>
    <w:rsid w:val="00035ABA"/>
    <w:rsid w:val="00037097"/>
    <w:rsid w:val="00040F76"/>
    <w:rsid w:val="000439E4"/>
    <w:rsid w:val="00044373"/>
    <w:rsid w:val="0004579B"/>
    <w:rsid w:val="00053051"/>
    <w:rsid w:val="000616E5"/>
    <w:rsid w:val="00065767"/>
    <w:rsid w:val="000657AE"/>
    <w:rsid w:val="0007198C"/>
    <w:rsid w:val="00075634"/>
    <w:rsid w:val="00080831"/>
    <w:rsid w:val="00081E53"/>
    <w:rsid w:val="000825EA"/>
    <w:rsid w:val="00082B17"/>
    <w:rsid w:val="00082C20"/>
    <w:rsid w:val="0008427F"/>
    <w:rsid w:val="00084BC7"/>
    <w:rsid w:val="00085C7C"/>
    <w:rsid w:val="00085E27"/>
    <w:rsid w:val="00086305"/>
    <w:rsid w:val="00087C3F"/>
    <w:rsid w:val="000938AB"/>
    <w:rsid w:val="00097DA7"/>
    <w:rsid w:val="000A336A"/>
    <w:rsid w:val="000A6194"/>
    <w:rsid w:val="000A682C"/>
    <w:rsid w:val="000B1401"/>
    <w:rsid w:val="000B546F"/>
    <w:rsid w:val="000C2610"/>
    <w:rsid w:val="000C64CB"/>
    <w:rsid w:val="000C7EC0"/>
    <w:rsid w:val="000D0E2A"/>
    <w:rsid w:val="000D34F2"/>
    <w:rsid w:val="000D409E"/>
    <w:rsid w:val="000D64EB"/>
    <w:rsid w:val="000D79CF"/>
    <w:rsid w:val="000E063E"/>
    <w:rsid w:val="000E1710"/>
    <w:rsid w:val="000E3C47"/>
    <w:rsid w:val="000E4184"/>
    <w:rsid w:val="000F1752"/>
    <w:rsid w:val="000F34A9"/>
    <w:rsid w:val="000F426C"/>
    <w:rsid w:val="000F4ECE"/>
    <w:rsid w:val="000F593A"/>
    <w:rsid w:val="000F618A"/>
    <w:rsid w:val="00100E0B"/>
    <w:rsid w:val="00104D8E"/>
    <w:rsid w:val="00105FB9"/>
    <w:rsid w:val="001060ED"/>
    <w:rsid w:val="00107C4A"/>
    <w:rsid w:val="0011164F"/>
    <w:rsid w:val="00111DD6"/>
    <w:rsid w:val="00113C09"/>
    <w:rsid w:val="00114C37"/>
    <w:rsid w:val="001178A4"/>
    <w:rsid w:val="001179B0"/>
    <w:rsid w:val="001207B7"/>
    <w:rsid w:val="00122758"/>
    <w:rsid w:val="00122DFC"/>
    <w:rsid w:val="00125224"/>
    <w:rsid w:val="001259FF"/>
    <w:rsid w:val="001262F7"/>
    <w:rsid w:val="00131F27"/>
    <w:rsid w:val="00133D5F"/>
    <w:rsid w:val="0013467E"/>
    <w:rsid w:val="00134DD0"/>
    <w:rsid w:val="001363E5"/>
    <w:rsid w:val="00140A95"/>
    <w:rsid w:val="001417D3"/>
    <w:rsid w:val="0014282F"/>
    <w:rsid w:val="00142EFD"/>
    <w:rsid w:val="00146AC8"/>
    <w:rsid w:val="0014779E"/>
    <w:rsid w:val="00147DDB"/>
    <w:rsid w:val="00151627"/>
    <w:rsid w:val="00153ACB"/>
    <w:rsid w:val="00153B3D"/>
    <w:rsid w:val="00154B28"/>
    <w:rsid w:val="001555EE"/>
    <w:rsid w:val="001579C2"/>
    <w:rsid w:val="0016204D"/>
    <w:rsid w:val="001621F6"/>
    <w:rsid w:val="00165BF8"/>
    <w:rsid w:val="00172045"/>
    <w:rsid w:val="00173664"/>
    <w:rsid w:val="00174E4C"/>
    <w:rsid w:val="00175628"/>
    <w:rsid w:val="001758E2"/>
    <w:rsid w:val="0017677D"/>
    <w:rsid w:val="001767C6"/>
    <w:rsid w:val="001804B9"/>
    <w:rsid w:val="00182B24"/>
    <w:rsid w:val="00183B2F"/>
    <w:rsid w:val="00184D00"/>
    <w:rsid w:val="00185591"/>
    <w:rsid w:val="0018587D"/>
    <w:rsid w:val="0018709E"/>
    <w:rsid w:val="00187CD4"/>
    <w:rsid w:val="00190DA1"/>
    <w:rsid w:val="00191C84"/>
    <w:rsid w:val="00192A6F"/>
    <w:rsid w:val="00194602"/>
    <w:rsid w:val="00195A57"/>
    <w:rsid w:val="00195AFD"/>
    <w:rsid w:val="00195F93"/>
    <w:rsid w:val="00196972"/>
    <w:rsid w:val="00196A44"/>
    <w:rsid w:val="001A08B9"/>
    <w:rsid w:val="001A37AE"/>
    <w:rsid w:val="001A3992"/>
    <w:rsid w:val="001A7F79"/>
    <w:rsid w:val="001B2934"/>
    <w:rsid w:val="001B2A35"/>
    <w:rsid w:val="001B40FE"/>
    <w:rsid w:val="001B6223"/>
    <w:rsid w:val="001B6D1B"/>
    <w:rsid w:val="001B799D"/>
    <w:rsid w:val="001C0D81"/>
    <w:rsid w:val="001C21E6"/>
    <w:rsid w:val="001C2A6F"/>
    <w:rsid w:val="001C4722"/>
    <w:rsid w:val="001C56E4"/>
    <w:rsid w:val="001C7796"/>
    <w:rsid w:val="001D1295"/>
    <w:rsid w:val="001D4D9E"/>
    <w:rsid w:val="001D7AD4"/>
    <w:rsid w:val="001E0108"/>
    <w:rsid w:val="001E13C4"/>
    <w:rsid w:val="001E43A7"/>
    <w:rsid w:val="001E55EF"/>
    <w:rsid w:val="001E606C"/>
    <w:rsid w:val="001E6112"/>
    <w:rsid w:val="001F131C"/>
    <w:rsid w:val="001F5A58"/>
    <w:rsid w:val="001F61E5"/>
    <w:rsid w:val="001F7AF1"/>
    <w:rsid w:val="00201388"/>
    <w:rsid w:val="00205503"/>
    <w:rsid w:val="00207590"/>
    <w:rsid w:val="00212F53"/>
    <w:rsid w:val="002152D7"/>
    <w:rsid w:val="002170BC"/>
    <w:rsid w:val="00220A09"/>
    <w:rsid w:val="002261C4"/>
    <w:rsid w:val="002305CD"/>
    <w:rsid w:val="00231208"/>
    <w:rsid w:val="002336FB"/>
    <w:rsid w:val="002351E6"/>
    <w:rsid w:val="00237385"/>
    <w:rsid w:val="00244EC1"/>
    <w:rsid w:val="00250DBD"/>
    <w:rsid w:val="00251FD2"/>
    <w:rsid w:val="00255505"/>
    <w:rsid w:val="002577F2"/>
    <w:rsid w:val="0026001B"/>
    <w:rsid w:val="00260C83"/>
    <w:rsid w:val="00260DB0"/>
    <w:rsid w:val="00262465"/>
    <w:rsid w:val="002650C2"/>
    <w:rsid w:val="00265211"/>
    <w:rsid w:val="00265D8F"/>
    <w:rsid w:val="00266AF6"/>
    <w:rsid w:val="0027345C"/>
    <w:rsid w:val="00277ECE"/>
    <w:rsid w:val="002834E7"/>
    <w:rsid w:val="00283FFB"/>
    <w:rsid w:val="00284731"/>
    <w:rsid w:val="00286099"/>
    <w:rsid w:val="002904E3"/>
    <w:rsid w:val="00291247"/>
    <w:rsid w:val="002926B2"/>
    <w:rsid w:val="00292FA5"/>
    <w:rsid w:val="00293CD6"/>
    <w:rsid w:val="002B52E4"/>
    <w:rsid w:val="002B5D22"/>
    <w:rsid w:val="002B6C8A"/>
    <w:rsid w:val="002B74BC"/>
    <w:rsid w:val="002C02EC"/>
    <w:rsid w:val="002C0AA3"/>
    <w:rsid w:val="002C128B"/>
    <w:rsid w:val="002D0E1C"/>
    <w:rsid w:val="002D35C5"/>
    <w:rsid w:val="002D6EF5"/>
    <w:rsid w:val="002E220A"/>
    <w:rsid w:val="002E6891"/>
    <w:rsid w:val="002E6B44"/>
    <w:rsid w:val="002E6E06"/>
    <w:rsid w:val="002F1FB3"/>
    <w:rsid w:val="002F3C1D"/>
    <w:rsid w:val="002F3CFE"/>
    <w:rsid w:val="002F3D10"/>
    <w:rsid w:val="002F45D4"/>
    <w:rsid w:val="002F4B0C"/>
    <w:rsid w:val="002F51BA"/>
    <w:rsid w:val="00301E6C"/>
    <w:rsid w:val="003036E0"/>
    <w:rsid w:val="003055AC"/>
    <w:rsid w:val="00310FCD"/>
    <w:rsid w:val="00312BD9"/>
    <w:rsid w:val="00313D0E"/>
    <w:rsid w:val="00313F82"/>
    <w:rsid w:val="00315ABF"/>
    <w:rsid w:val="00316219"/>
    <w:rsid w:val="00316EE6"/>
    <w:rsid w:val="00320CD0"/>
    <w:rsid w:val="003214F1"/>
    <w:rsid w:val="00321F15"/>
    <w:rsid w:val="0032434C"/>
    <w:rsid w:val="00330BD8"/>
    <w:rsid w:val="003324F3"/>
    <w:rsid w:val="00334300"/>
    <w:rsid w:val="00341EB4"/>
    <w:rsid w:val="0034236C"/>
    <w:rsid w:val="00342880"/>
    <w:rsid w:val="0034429D"/>
    <w:rsid w:val="0034439A"/>
    <w:rsid w:val="0034541E"/>
    <w:rsid w:val="00345A2A"/>
    <w:rsid w:val="003460E1"/>
    <w:rsid w:val="00350325"/>
    <w:rsid w:val="003517C2"/>
    <w:rsid w:val="00351BB8"/>
    <w:rsid w:val="0035345E"/>
    <w:rsid w:val="003555ED"/>
    <w:rsid w:val="003569A2"/>
    <w:rsid w:val="00360F5C"/>
    <w:rsid w:val="00363A42"/>
    <w:rsid w:val="003643D9"/>
    <w:rsid w:val="00364CE0"/>
    <w:rsid w:val="00365F08"/>
    <w:rsid w:val="00366DA1"/>
    <w:rsid w:val="00367080"/>
    <w:rsid w:val="0037292F"/>
    <w:rsid w:val="00377D66"/>
    <w:rsid w:val="00380C77"/>
    <w:rsid w:val="00381695"/>
    <w:rsid w:val="0038282D"/>
    <w:rsid w:val="00382F9E"/>
    <w:rsid w:val="00384006"/>
    <w:rsid w:val="00387C8A"/>
    <w:rsid w:val="00390A1B"/>
    <w:rsid w:val="00391E15"/>
    <w:rsid w:val="0039510D"/>
    <w:rsid w:val="0039551F"/>
    <w:rsid w:val="0039651A"/>
    <w:rsid w:val="003966C2"/>
    <w:rsid w:val="00397513"/>
    <w:rsid w:val="00397692"/>
    <w:rsid w:val="003A06DC"/>
    <w:rsid w:val="003A1E20"/>
    <w:rsid w:val="003A3735"/>
    <w:rsid w:val="003A6370"/>
    <w:rsid w:val="003A673C"/>
    <w:rsid w:val="003B1533"/>
    <w:rsid w:val="003B27AC"/>
    <w:rsid w:val="003B2E07"/>
    <w:rsid w:val="003B5051"/>
    <w:rsid w:val="003B7E64"/>
    <w:rsid w:val="003C270C"/>
    <w:rsid w:val="003C51D2"/>
    <w:rsid w:val="003C5690"/>
    <w:rsid w:val="003D1243"/>
    <w:rsid w:val="003D56BA"/>
    <w:rsid w:val="003D5C0E"/>
    <w:rsid w:val="003D7002"/>
    <w:rsid w:val="003E0EE4"/>
    <w:rsid w:val="003F3E42"/>
    <w:rsid w:val="003F4BD3"/>
    <w:rsid w:val="003F5134"/>
    <w:rsid w:val="003F5B11"/>
    <w:rsid w:val="00400C64"/>
    <w:rsid w:val="004011AB"/>
    <w:rsid w:val="00403034"/>
    <w:rsid w:val="00406EE0"/>
    <w:rsid w:val="004122AA"/>
    <w:rsid w:val="00412AA9"/>
    <w:rsid w:val="00412FC2"/>
    <w:rsid w:val="00413A17"/>
    <w:rsid w:val="00415625"/>
    <w:rsid w:val="004166FF"/>
    <w:rsid w:val="00416CF4"/>
    <w:rsid w:val="004172D6"/>
    <w:rsid w:val="0041746E"/>
    <w:rsid w:val="00417598"/>
    <w:rsid w:val="0042010A"/>
    <w:rsid w:val="004213CC"/>
    <w:rsid w:val="00422831"/>
    <w:rsid w:val="00424761"/>
    <w:rsid w:val="004264D1"/>
    <w:rsid w:val="0043167D"/>
    <w:rsid w:val="00431F73"/>
    <w:rsid w:val="0043306F"/>
    <w:rsid w:val="00440D34"/>
    <w:rsid w:val="0044249D"/>
    <w:rsid w:val="00442C77"/>
    <w:rsid w:val="004447A3"/>
    <w:rsid w:val="00445842"/>
    <w:rsid w:val="00447EDB"/>
    <w:rsid w:val="00450324"/>
    <w:rsid w:val="00450A00"/>
    <w:rsid w:val="0045262C"/>
    <w:rsid w:val="0045305F"/>
    <w:rsid w:val="00462169"/>
    <w:rsid w:val="00465766"/>
    <w:rsid w:val="00466AA4"/>
    <w:rsid w:val="00467A67"/>
    <w:rsid w:val="00467D69"/>
    <w:rsid w:val="00467FB3"/>
    <w:rsid w:val="0047132F"/>
    <w:rsid w:val="00471753"/>
    <w:rsid w:val="004719EA"/>
    <w:rsid w:val="004730C3"/>
    <w:rsid w:val="00474727"/>
    <w:rsid w:val="00474A7D"/>
    <w:rsid w:val="004759E3"/>
    <w:rsid w:val="00475A46"/>
    <w:rsid w:val="00475C72"/>
    <w:rsid w:val="00476655"/>
    <w:rsid w:val="004859C5"/>
    <w:rsid w:val="004859E7"/>
    <w:rsid w:val="00486495"/>
    <w:rsid w:val="00486BF9"/>
    <w:rsid w:val="00487FA5"/>
    <w:rsid w:val="00491032"/>
    <w:rsid w:val="00493452"/>
    <w:rsid w:val="00493A0C"/>
    <w:rsid w:val="00497CC0"/>
    <w:rsid w:val="004A05F1"/>
    <w:rsid w:val="004A46DE"/>
    <w:rsid w:val="004A6863"/>
    <w:rsid w:val="004A7043"/>
    <w:rsid w:val="004A7160"/>
    <w:rsid w:val="004B1BCD"/>
    <w:rsid w:val="004B21EF"/>
    <w:rsid w:val="004B4939"/>
    <w:rsid w:val="004B6E4B"/>
    <w:rsid w:val="004C467A"/>
    <w:rsid w:val="004C59C6"/>
    <w:rsid w:val="004C5E71"/>
    <w:rsid w:val="004D06FF"/>
    <w:rsid w:val="004D2A03"/>
    <w:rsid w:val="004D4748"/>
    <w:rsid w:val="004D490A"/>
    <w:rsid w:val="004D4D96"/>
    <w:rsid w:val="004D6345"/>
    <w:rsid w:val="004D6F0D"/>
    <w:rsid w:val="004E3DB4"/>
    <w:rsid w:val="004E5956"/>
    <w:rsid w:val="004E5D06"/>
    <w:rsid w:val="004E6490"/>
    <w:rsid w:val="004E64FE"/>
    <w:rsid w:val="004E7AA8"/>
    <w:rsid w:val="004F25A4"/>
    <w:rsid w:val="004F3BE9"/>
    <w:rsid w:val="004F3CC6"/>
    <w:rsid w:val="00503ABB"/>
    <w:rsid w:val="0050496B"/>
    <w:rsid w:val="0050775F"/>
    <w:rsid w:val="00507AC5"/>
    <w:rsid w:val="005163E0"/>
    <w:rsid w:val="00517244"/>
    <w:rsid w:val="00520C2D"/>
    <w:rsid w:val="005212F6"/>
    <w:rsid w:val="0052160B"/>
    <w:rsid w:val="00521D32"/>
    <w:rsid w:val="005237BD"/>
    <w:rsid w:val="00523B57"/>
    <w:rsid w:val="005240F8"/>
    <w:rsid w:val="0052783B"/>
    <w:rsid w:val="00527CA4"/>
    <w:rsid w:val="0053352F"/>
    <w:rsid w:val="00533F17"/>
    <w:rsid w:val="0053474B"/>
    <w:rsid w:val="00534D66"/>
    <w:rsid w:val="00534EAD"/>
    <w:rsid w:val="00535899"/>
    <w:rsid w:val="00544342"/>
    <w:rsid w:val="005455FD"/>
    <w:rsid w:val="00550F5F"/>
    <w:rsid w:val="00551AF0"/>
    <w:rsid w:val="00552BC5"/>
    <w:rsid w:val="00553200"/>
    <w:rsid w:val="00554722"/>
    <w:rsid w:val="00555027"/>
    <w:rsid w:val="00557D22"/>
    <w:rsid w:val="00560B65"/>
    <w:rsid w:val="00566BC8"/>
    <w:rsid w:val="00566E87"/>
    <w:rsid w:val="005734A3"/>
    <w:rsid w:val="00580457"/>
    <w:rsid w:val="0058401D"/>
    <w:rsid w:val="00585D7B"/>
    <w:rsid w:val="00586464"/>
    <w:rsid w:val="00587374"/>
    <w:rsid w:val="00587635"/>
    <w:rsid w:val="00587F43"/>
    <w:rsid w:val="00592FC2"/>
    <w:rsid w:val="00593A9C"/>
    <w:rsid w:val="0059448A"/>
    <w:rsid w:val="00595890"/>
    <w:rsid w:val="005A488C"/>
    <w:rsid w:val="005B061C"/>
    <w:rsid w:val="005B4B00"/>
    <w:rsid w:val="005B5480"/>
    <w:rsid w:val="005B7F08"/>
    <w:rsid w:val="005C40A7"/>
    <w:rsid w:val="005D105C"/>
    <w:rsid w:val="005D1F67"/>
    <w:rsid w:val="005D3218"/>
    <w:rsid w:val="005D6616"/>
    <w:rsid w:val="005D6864"/>
    <w:rsid w:val="005D7895"/>
    <w:rsid w:val="005E42CD"/>
    <w:rsid w:val="005E467A"/>
    <w:rsid w:val="005E4755"/>
    <w:rsid w:val="005E5089"/>
    <w:rsid w:val="005E61AA"/>
    <w:rsid w:val="005F3CDD"/>
    <w:rsid w:val="005F64D9"/>
    <w:rsid w:val="005F7F6C"/>
    <w:rsid w:val="006028D3"/>
    <w:rsid w:val="00602D62"/>
    <w:rsid w:val="00604F44"/>
    <w:rsid w:val="00607604"/>
    <w:rsid w:val="006077BF"/>
    <w:rsid w:val="00607B21"/>
    <w:rsid w:val="00610556"/>
    <w:rsid w:val="00615C63"/>
    <w:rsid w:val="0061669E"/>
    <w:rsid w:val="006171AA"/>
    <w:rsid w:val="00621082"/>
    <w:rsid w:val="006216FD"/>
    <w:rsid w:val="00625FD2"/>
    <w:rsid w:val="0062718A"/>
    <w:rsid w:val="00627310"/>
    <w:rsid w:val="006300ED"/>
    <w:rsid w:val="00631C1A"/>
    <w:rsid w:val="00632E11"/>
    <w:rsid w:val="006333A5"/>
    <w:rsid w:val="006334F0"/>
    <w:rsid w:val="00633977"/>
    <w:rsid w:val="00633F82"/>
    <w:rsid w:val="00635258"/>
    <w:rsid w:val="006356E1"/>
    <w:rsid w:val="0063594A"/>
    <w:rsid w:val="00640A29"/>
    <w:rsid w:val="0064563D"/>
    <w:rsid w:val="00645CB9"/>
    <w:rsid w:val="00646050"/>
    <w:rsid w:val="00646FFE"/>
    <w:rsid w:val="006523DC"/>
    <w:rsid w:val="00652A08"/>
    <w:rsid w:val="00652A4D"/>
    <w:rsid w:val="006535B5"/>
    <w:rsid w:val="006542D8"/>
    <w:rsid w:val="00657955"/>
    <w:rsid w:val="00657E39"/>
    <w:rsid w:val="006620DE"/>
    <w:rsid w:val="00663525"/>
    <w:rsid w:val="00663F3D"/>
    <w:rsid w:val="00670961"/>
    <w:rsid w:val="0067147E"/>
    <w:rsid w:val="00674B14"/>
    <w:rsid w:val="006750C9"/>
    <w:rsid w:val="00675D00"/>
    <w:rsid w:val="006765EB"/>
    <w:rsid w:val="0068005D"/>
    <w:rsid w:val="00682524"/>
    <w:rsid w:val="00682EC2"/>
    <w:rsid w:val="00683A5D"/>
    <w:rsid w:val="0068400F"/>
    <w:rsid w:val="006903A2"/>
    <w:rsid w:val="00696C97"/>
    <w:rsid w:val="00696E42"/>
    <w:rsid w:val="006A00BF"/>
    <w:rsid w:val="006A0463"/>
    <w:rsid w:val="006A149A"/>
    <w:rsid w:val="006A24DD"/>
    <w:rsid w:val="006A39E5"/>
    <w:rsid w:val="006A3E0A"/>
    <w:rsid w:val="006A5B13"/>
    <w:rsid w:val="006B0586"/>
    <w:rsid w:val="006B1F8A"/>
    <w:rsid w:val="006B2B2C"/>
    <w:rsid w:val="006B4954"/>
    <w:rsid w:val="006B4D4E"/>
    <w:rsid w:val="006B5F47"/>
    <w:rsid w:val="006C4314"/>
    <w:rsid w:val="006C4AFB"/>
    <w:rsid w:val="006C6025"/>
    <w:rsid w:val="006C6E09"/>
    <w:rsid w:val="006D272D"/>
    <w:rsid w:val="006D3359"/>
    <w:rsid w:val="006D542B"/>
    <w:rsid w:val="006D6905"/>
    <w:rsid w:val="006D6D64"/>
    <w:rsid w:val="006D7006"/>
    <w:rsid w:val="006E0E52"/>
    <w:rsid w:val="006E2F19"/>
    <w:rsid w:val="006E595D"/>
    <w:rsid w:val="006F0357"/>
    <w:rsid w:val="006F056E"/>
    <w:rsid w:val="006F0CFA"/>
    <w:rsid w:val="006F10F8"/>
    <w:rsid w:val="006F2443"/>
    <w:rsid w:val="00700891"/>
    <w:rsid w:val="0070127E"/>
    <w:rsid w:val="00701EF8"/>
    <w:rsid w:val="00703C44"/>
    <w:rsid w:val="00704175"/>
    <w:rsid w:val="00704495"/>
    <w:rsid w:val="0070708A"/>
    <w:rsid w:val="00707B90"/>
    <w:rsid w:val="0071029B"/>
    <w:rsid w:val="00711AA1"/>
    <w:rsid w:val="00712588"/>
    <w:rsid w:val="00713991"/>
    <w:rsid w:val="00714082"/>
    <w:rsid w:val="0071473B"/>
    <w:rsid w:val="007158F5"/>
    <w:rsid w:val="00717FD2"/>
    <w:rsid w:val="00717FFA"/>
    <w:rsid w:val="00721022"/>
    <w:rsid w:val="007215C2"/>
    <w:rsid w:val="00723BA3"/>
    <w:rsid w:val="007261C0"/>
    <w:rsid w:val="00726348"/>
    <w:rsid w:val="00726CEB"/>
    <w:rsid w:val="00726DE9"/>
    <w:rsid w:val="007270CB"/>
    <w:rsid w:val="00727926"/>
    <w:rsid w:val="00730F7B"/>
    <w:rsid w:val="007315B8"/>
    <w:rsid w:val="007376AC"/>
    <w:rsid w:val="00742672"/>
    <w:rsid w:val="007428D2"/>
    <w:rsid w:val="0074401B"/>
    <w:rsid w:val="00746F68"/>
    <w:rsid w:val="00747F49"/>
    <w:rsid w:val="007504DA"/>
    <w:rsid w:val="00752797"/>
    <w:rsid w:val="00754C90"/>
    <w:rsid w:val="00755CAF"/>
    <w:rsid w:val="0076059F"/>
    <w:rsid w:val="0076148B"/>
    <w:rsid w:val="007632D0"/>
    <w:rsid w:val="0076368F"/>
    <w:rsid w:val="00763BE0"/>
    <w:rsid w:val="0076471D"/>
    <w:rsid w:val="007650E3"/>
    <w:rsid w:val="00765BCA"/>
    <w:rsid w:val="00766F48"/>
    <w:rsid w:val="007678E7"/>
    <w:rsid w:val="00776AFB"/>
    <w:rsid w:val="00776CE5"/>
    <w:rsid w:val="00777A41"/>
    <w:rsid w:val="00782C3C"/>
    <w:rsid w:val="00783785"/>
    <w:rsid w:val="00784DE2"/>
    <w:rsid w:val="007866F5"/>
    <w:rsid w:val="007909EB"/>
    <w:rsid w:val="00791DF5"/>
    <w:rsid w:val="0079322B"/>
    <w:rsid w:val="007A03E2"/>
    <w:rsid w:val="007A28EF"/>
    <w:rsid w:val="007A36AE"/>
    <w:rsid w:val="007A4A5F"/>
    <w:rsid w:val="007A5BE7"/>
    <w:rsid w:val="007A609E"/>
    <w:rsid w:val="007A678D"/>
    <w:rsid w:val="007B05F8"/>
    <w:rsid w:val="007B07D2"/>
    <w:rsid w:val="007B295B"/>
    <w:rsid w:val="007B46F3"/>
    <w:rsid w:val="007B55D1"/>
    <w:rsid w:val="007C29FA"/>
    <w:rsid w:val="007C72AF"/>
    <w:rsid w:val="007D0049"/>
    <w:rsid w:val="007D1D84"/>
    <w:rsid w:val="007D2FDA"/>
    <w:rsid w:val="007D3294"/>
    <w:rsid w:val="007D4EE1"/>
    <w:rsid w:val="007D54E7"/>
    <w:rsid w:val="007D7744"/>
    <w:rsid w:val="007E0B10"/>
    <w:rsid w:val="007E134D"/>
    <w:rsid w:val="007E3296"/>
    <w:rsid w:val="007E3363"/>
    <w:rsid w:val="007E584B"/>
    <w:rsid w:val="007F1323"/>
    <w:rsid w:val="007F289E"/>
    <w:rsid w:val="007F60E5"/>
    <w:rsid w:val="007F7976"/>
    <w:rsid w:val="007F7A0E"/>
    <w:rsid w:val="00800B3C"/>
    <w:rsid w:val="00800C79"/>
    <w:rsid w:val="00800F36"/>
    <w:rsid w:val="008026CB"/>
    <w:rsid w:val="00803921"/>
    <w:rsid w:val="00804996"/>
    <w:rsid w:val="00805DF7"/>
    <w:rsid w:val="008117C7"/>
    <w:rsid w:val="0081284C"/>
    <w:rsid w:val="00813426"/>
    <w:rsid w:val="0081350E"/>
    <w:rsid w:val="008135E6"/>
    <w:rsid w:val="0081716A"/>
    <w:rsid w:val="00817E7D"/>
    <w:rsid w:val="0082016B"/>
    <w:rsid w:val="0082023A"/>
    <w:rsid w:val="0082042F"/>
    <w:rsid w:val="00820E9C"/>
    <w:rsid w:val="008251E6"/>
    <w:rsid w:val="00830275"/>
    <w:rsid w:val="00832BA2"/>
    <w:rsid w:val="0083387A"/>
    <w:rsid w:val="00837271"/>
    <w:rsid w:val="008415DD"/>
    <w:rsid w:val="0084169E"/>
    <w:rsid w:val="0084187C"/>
    <w:rsid w:val="00841AA0"/>
    <w:rsid w:val="00843F70"/>
    <w:rsid w:val="0084761D"/>
    <w:rsid w:val="00851A17"/>
    <w:rsid w:val="00852EF9"/>
    <w:rsid w:val="00853372"/>
    <w:rsid w:val="008534CC"/>
    <w:rsid w:val="00860DE5"/>
    <w:rsid w:val="008611DC"/>
    <w:rsid w:val="008622D0"/>
    <w:rsid w:val="00863769"/>
    <w:rsid w:val="00863CD3"/>
    <w:rsid w:val="00866337"/>
    <w:rsid w:val="00867DC6"/>
    <w:rsid w:val="00872231"/>
    <w:rsid w:val="0087481F"/>
    <w:rsid w:val="008811E0"/>
    <w:rsid w:val="0088732E"/>
    <w:rsid w:val="00891BB5"/>
    <w:rsid w:val="00891DE3"/>
    <w:rsid w:val="00893024"/>
    <w:rsid w:val="00893169"/>
    <w:rsid w:val="008959E9"/>
    <w:rsid w:val="00897ECF"/>
    <w:rsid w:val="008A13D9"/>
    <w:rsid w:val="008A156D"/>
    <w:rsid w:val="008A1773"/>
    <w:rsid w:val="008A28AA"/>
    <w:rsid w:val="008A2A6C"/>
    <w:rsid w:val="008A33B8"/>
    <w:rsid w:val="008A41A8"/>
    <w:rsid w:val="008A45C8"/>
    <w:rsid w:val="008A5974"/>
    <w:rsid w:val="008B399A"/>
    <w:rsid w:val="008B4A9F"/>
    <w:rsid w:val="008B53AC"/>
    <w:rsid w:val="008C0024"/>
    <w:rsid w:val="008C3529"/>
    <w:rsid w:val="008C488E"/>
    <w:rsid w:val="008C48B0"/>
    <w:rsid w:val="008C4EE8"/>
    <w:rsid w:val="008D3608"/>
    <w:rsid w:val="008D6EAB"/>
    <w:rsid w:val="008D6F69"/>
    <w:rsid w:val="008D79C3"/>
    <w:rsid w:val="008E3EDA"/>
    <w:rsid w:val="008E4F6A"/>
    <w:rsid w:val="008E5EF5"/>
    <w:rsid w:val="008E72CC"/>
    <w:rsid w:val="008F1739"/>
    <w:rsid w:val="008F25D8"/>
    <w:rsid w:val="008F3B91"/>
    <w:rsid w:val="008F496E"/>
    <w:rsid w:val="008F52CB"/>
    <w:rsid w:val="008F53A6"/>
    <w:rsid w:val="008F6285"/>
    <w:rsid w:val="00902807"/>
    <w:rsid w:val="00902DB3"/>
    <w:rsid w:val="00905909"/>
    <w:rsid w:val="00906C01"/>
    <w:rsid w:val="00912BAA"/>
    <w:rsid w:val="00913CFD"/>
    <w:rsid w:val="00914F43"/>
    <w:rsid w:val="009155DD"/>
    <w:rsid w:val="00917369"/>
    <w:rsid w:val="00921CF3"/>
    <w:rsid w:val="009229AB"/>
    <w:rsid w:val="009235C5"/>
    <w:rsid w:val="009243A9"/>
    <w:rsid w:val="00924F6C"/>
    <w:rsid w:val="00926059"/>
    <w:rsid w:val="00926151"/>
    <w:rsid w:val="00926511"/>
    <w:rsid w:val="009267DF"/>
    <w:rsid w:val="00930894"/>
    <w:rsid w:val="00930F11"/>
    <w:rsid w:val="00931CEB"/>
    <w:rsid w:val="00932149"/>
    <w:rsid w:val="00935519"/>
    <w:rsid w:val="00941212"/>
    <w:rsid w:val="009442E0"/>
    <w:rsid w:val="009503BC"/>
    <w:rsid w:val="00952459"/>
    <w:rsid w:val="00952BF2"/>
    <w:rsid w:val="00952C82"/>
    <w:rsid w:val="00952D9D"/>
    <w:rsid w:val="00952FA5"/>
    <w:rsid w:val="009549AC"/>
    <w:rsid w:val="00956304"/>
    <w:rsid w:val="00962C2B"/>
    <w:rsid w:val="00962C89"/>
    <w:rsid w:val="009636CD"/>
    <w:rsid w:val="00963779"/>
    <w:rsid w:val="00963A8F"/>
    <w:rsid w:val="00965356"/>
    <w:rsid w:val="00966FD5"/>
    <w:rsid w:val="0096795A"/>
    <w:rsid w:val="0097062C"/>
    <w:rsid w:val="009726DC"/>
    <w:rsid w:val="00974210"/>
    <w:rsid w:val="0097484D"/>
    <w:rsid w:val="00974CB6"/>
    <w:rsid w:val="0097646A"/>
    <w:rsid w:val="00976CAD"/>
    <w:rsid w:val="00977804"/>
    <w:rsid w:val="009801C5"/>
    <w:rsid w:val="009825DC"/>
    <w:rsid w:val="00984198"/>
    <w:rsid w:val="00984F38"/>
    <w:rsid w:val="00985E38"/>
    <w:rsid w:val="00991D51"/>
    <w:rsid w:val="00991D7B"/>
    <w:rsid w:val="00993445"/>
    <w:rsid w:val="00994035"/>
    <w:rsid w:val="0099433A"/>
    <w:rsid w:val="00994A44"/>
    <w:rsid w:val="00997AC2"/>
    <w:rsid w:val="009A0207"/>
    <w:rsid w:val="009A2F9E"/>
    <w:rsid w:val="009A4202"/>
    <w:rsid w:val="009A48B4"/>
    <w:rsid w:val="009A5E92"/>
    <w:rsid w:val="009B0B82"/>
    <w:rsid w:val="009B36EF"/>
    <w:rsid w:val="009B45A0"/>
    <w:rsid w:val="009B71C2"/>
    <w:rsid w:val="009C2E30"/>
    <w:rsid w:val="009C4D74"/>
    <w:rsid w:val="009D1E95"/>
    <w:rsid w:val="009D22A2"/>
    <w:rsid w:val="009D2E82"/>
    <w:rsid w:val="009D3645"/>
    <w:rsid w:val="009D519A"/>
    <w:rsid w:val="009E596B"/>
    <w:rsid w:val="009E75D7"/>
    <w:rsid w:val="009F351B"/>
    <w:rsid w:val="009F5FD4"/>
    <w:rsid w:val="009F65AE"/>
    <w:rsid w:val="00A0078A"/>
    <w:rsid w:val="00A00B18"/>
    <w:rsid w:val="00A031ED"/>
    <w:rsid w:val="00A03DD4"/>
    <w:rsid w:val="00A07FED"/>
    <w:rsid w:val="00A12082"/>
    <w:rsid w:val="00A12FC8"/>
    <w:rsid w:val="00A13D34"/>
    <w:rsid w:val="00A177EA"/>
    <w:rsid w:val="00A17E8F"/>
    <w:rsid w:val="00A24C53"/>
    <w:rsid w:val="00A251A1"/>
    <w:rsid w:val="00A31974"/>
    <w:rsid w:val="00A3226B"/>
    <w:rsid w:val="00A3304B"/>
    <w:rsid w:val="00A334B6"/>
    <w:rsid w:val="00A34373"/>
    <w:rsid w:val="00A3505B"/>
    <w:rsid w:val="00A37120"/>
    <w:rsid w:val="00A37E4B"/>
    <w:rsid w:val="00A40A64"/>
    <w:rsid w:val="00A415F9"/>
    <w:rsid w:val="00A41D1F"/>
    <w:rsid w:val="00A43420"/>
    <w:rsid w:val="00A45789"/>
    <w:rsid w:val="00A47946"/>
    <w:rsid w:val="00A479DE"/>
    <w:rsid w:val="00A53D2F"/>
    <w:rsid w:val="00A5578B"/>
    <w:rsid w:val="00A562E0"/>
    <w:rsid w:val="00A659D5"/>
    <w:rsid w:val="00A65DF1"/>
    <w:rsid w:val="00A67C3F"/>
    <w:rsid w:val="00A75534"/>
    <w:rsid w:val="00A768C4"/>
    <w:rsid w:val="00A778A5"/>
    <w:rsid w:val="00A8368F"/>
    <w:rsid w:val="00A9217C"/>
    <w:rsid w:val="00A95994"/>
    <w:rsid w:val="00A9700A"/>
    <w:rsid w:val="00AA1A95"/>
    <w:rsid w:val="00AA5857"/>
    <w:rsid w:val="00AA6B4E"/>
    <w:rsid w:val="00AA77B8"/>
    <w:rsid w:val="00AB4DD7"/>
    <w:rsid w:val="00AB53E8"/>
    <w:rsid w:val="00AC1045"/>
    <w:rsid w:val="00AC2A20"/>
    <w:rsid w:val="00AC2E43"/>
    <w:rsid w:val="00AC461F"/>
    <w:rsid w:val="00AC53E1"/>
    <w:rsid w:val="00AC587B"/>
    <w:rsid w:val="00AC5D6C"/>
    <w:rsid w:val="00AD0D24"/>
    <w:rsid w:val="00AD16DE"/>
    <w:rsid w:val="00AD38AA"/>
    <w:rsid w:val="00AD4018"/>
    <w:rsid w:val="00AD5199"/>
    <w:rsid w:val="00AD6B01"/>
    <w:rsid w:val="00AD6DC4"/>
    <w:rsid w:val="00AE2745"/>
    <w:rsid w:val="00AE3AD7"/>
    <w:rsid w:val="00AE566F"/>
    <w:rsid w:val="00AE5E42"/>
    <w:rsid w:val="00AE6A24"/>
    <w:rsid w:val="00AE7E7B"/>
    <w:rsid w:val="00AE7EFF"/>
    <w:rsid w:val="00AF0A7B"/>
    <w:rsid w:val="00AF6198"/>
    <w:rsid w:val="00AF61D6"/>
    <w:rsid w:val="00AF76AF"/>
    <w:rsid w:val="00B03B6B"/>
    <w:rsid w:val="00B04535"/>
    <w:rsid w:val="00B06A6F"/>
    <w:rsid w:val="00B10965"/>
    <w:rsid w:val="00B1174F"/>
    <w:rsid w:val="00B118AB"/>
    <w:rsid w:val="00B125C1"/>
    <w:rsid w:val="00B13C3C"/>
    <w:rsid w:val="00B1416C"/>
    <w:rsid w:val="00B1451A"/>
    <w:rsid w:val="00B2065D"/>
    <w:rsid w:val="00B2233D"/>
    <w:rsid w:val="00B242A3"/>
    <w:rsid w:val="00B24E8B"/>
    <w:rsid w:val="00B354A8"/>
    <w:rsid w:val="00B360E4"/>
    <w:rsid w:val="00B36D3A"/>
    <w:rsid w:val="00B419E6"/>
    <w:rsid w:val="00B4573D"/>
    <w:rsid w:val="00B5016A"/>
    <w:rsid w:val="00B514FE"/>
    <w:rsid w:val="00B524F5"/>
    <w:rsid w:val="00B5776A"/>
    <w:rsid w:val="00B61E2E"/>
    <w:rsid w:val="00B629C7"/>
    <w:rsid w:val="00B650CB"/>
    <w:rsid w:val="00B65BF4"/>
    <w:rsid w:val="00B67213"/>
    <w:rsid w:val="00B6721C"/>
    <w:rsid w:val="00B73F96"/>
    <w:rsid w:val="00B76FF6"/>
    <w:rsid w:val="00B81AE5"/>
    <w:rsid w:val="00B82C47"/>
    <w:rsid w:val="00B85792"/>
    <w:rsid w:val="00B907B7"/>
    <w:rsid w:val="00B925E2"/>
    <w:rsid w:val="00B94E68"/>
    <w:rsid w:val="00BA3812"/>
    <w:rsid w:val="00BA5C68"/>
    <w:rsid w:val="00BA7111"/>
    <w:rsid w:val="00BA79F9"/>
    <w:rsid w:val="00BB1E93"/>
    <w:rsid w:val="00BB224F"/>
    <w:rsid w:val="00BB2D49"/>
    <w:rsid w:val="00BB4048"/>
    <w:rsid w:val="00BB43B5"/>
    <w:rsid w:val="00BC0C14"/>
    <w:rsid w:val="00BC25C6"/>
    <w:rsid w:val="00BC31B1"/>
    <w:rsid w:val="00BC7E71"/>
    <w:rsid w:val="00BD4A86"/>
    <w:rsid w:val="00BD53E0"/>
    <w:rsid w:val="00BD7E7C"/>
    <w:rsid w:val="00BE2CD4"/>
    <w:rsid w:val="00BE4A83"/>
    <w:rsid w:val="00BF0641"/>
    <w:rsid w:val="00BF58FE"/>
    <w:rsid w:val="00BF5D18"/>
    <w:rsid w:val="00C02AF1"/>
    <w:rsid w:val="00C02DE5"/>
    <w:rsid w:val="00C04211"/>
    <w:rsid w:val="00C05040"/>
    <w:rsid w:val="00C060AE"/>
    <w:rsid w:val="00C06D8F"/>
    <w:rsid w:val="00C07B22"/>
    <w:rsid w:val="00C11182"/>
    <w:rsid w:val="00C129A7"/>
    <w:rsid w:val="00C14962"/>
    <w:rsid w:val="00C16354"/>
    <w:rsid w:val="00C21A3B"/>
    <w:rsid w:val="00C22005"/>
    <w:rsid w:val="00C24D86"/>
    <w:rsid w:val="00C2653C"/>
    <w:rsid w:val="00C31765"/>
    <w:rsid w:val="00C31C52"/>
    <w:rsid w:val="00C32167"/>
    <w:rsid w:val="00C33875"/>
    <w:rsid w:val="00C446AB"/>
    <w:rsid w:val="00C45743"/>
    <w:rsid w:val="00C55853"/>
    <w:rsid w:val="00C568F3"/>
    <w:rsid w:val="00C60D10"/>
    <w:rsid w:val="00C62C4E"/>
    <w:rsid w:val="00C6474A"/>
    <w:rsid w:val="00C665CB"/>
    <w:rsid w:val="00C71549"/>
    <w:rsid w:val="00C71FF8"/>
    <w:rsid w:val="00C72B18"/>
    <w:rsid w:val="00C73A45"/>
    <w:rsid w:val="00C77E77"/>
    <w:rsid w:val="00C80218"/>
    <w:rsid w:val="00C80EBA"/>
    <w:rsid w:val="00C83442"/>
    <w:rsid w:val="00C8749B"/>
    <w:rsid w:val="00C87B5A"/>
    <w:rsid w:val="00C90E58"/>
    <w:rsid w:val="00C91CED"/>
    <w:rsid w:val="00C92ADD"/>
    <w:rsid w:val="00C9771C"/>
    <w:rsid w:val="00C97D28"/>
    <w:rsid w:val="00CA0B7F"/>
    <w:rsid w:val="00CA57C3"/>
    <w:rsid w:val="00CA5FEF"/>
    <w:rsid w:val="00CA7EE8"/>
    <w:rsid w:val="00CB2656"/>
    <w:rsid w:val="00CB7563"/>
    <w:rsid w:val="00CB7B5B"/>
    <w:rsid w:val="00CC1F9A"/>
    <w:rsid w:val="00CC2DB6"/>
    <w:rsid w:val="00CC58E0"/>
    <w:rsid w:val="00CC5D1C"/>
    <w:rsid w:val="00CC78E6"/>
    <w:rsid w:val="00CD10C8"/>
    <w:rsid w:val="00CD2862"/>
    <w:rsid w:val="00CD3277"/>
    <w:rsid w:val="00CD46F7"/>
    <w:rsid w:val="00CE3D14"/>
    <w:rsid w:val="00CE58ED"/>
    <w:rsid w:val="00CE60E3"/>
    <w:rsid w:val="00CE6CAF"/>
    <w:rsid w:val="00CF2309"/>
    <w:rsid w:val="00D01EE1"/>
    <w:rsid w:val="00D0562E"/>
    <w:rsid w:val="00D109D5"/>
    <w:rsid w:val="00D11231"/>
    <w:rsid w:val="00D145C3"/>
    <w:rsid w:val="00D152D9"/>
    <w:rsid w:val="00D15E8E"/>
    <w:rsid w:val="00D179A0"/>
    <w:rsid w:val="00D2265F"/>
    <w:rsid w:val="00D233FF"/>
    <w:rsid w:val="00D2439F"/>
    <w:rsid w:val="00D25978"/>
    <w:rsid w:val="00D319C8"/>
    <w:rsid w:val="00D31EF5"/>
    <w:rsid w:val="00D323C3"/>
    <w:rsid w:val="00D3310C"/>
    <w:rsid w:val="00D33320"/>
    <w:rsid w:val="00D33778"/>
    <w:rsid w:val="00D36F98"/>
    <w:rsid w:val="00D37876"/>
    <w:rsid w:val="00D42B17"/>
    <w:rsid w:val="00D42FB4"/>
    <w:rsid w:val="00D43C15"/>
    <w:rsid w:val="00D44D02"/>
    <w:rsid w:val="00D46F64"/>
    <w:rsid w:val="00D51E49"/>
    <w:rsid w:val="00D52C38"/>
    <w:rsid w:val="00D534A6"/>
    <w:rsid w:val="00D53A46"/>
    <w:rsid w:val="00D61741"/>
    <w:rsid w:val="00D65B33"/>
    <w:rsid w:val="00D70C9E"/>
    <w:rsid w:val="00D7184E"/>
    <w:rsid w:val="00D7381A"/>
    <w:rsid w:val="00D77215"/>
    <w:rsid w:val="00D7754C"/>
    <w:rsid w:val="00D77A08"/>
    <w:rsid w:val="00D81DED"/>
    <w:rsid w:val="00D82447"/>
    <w:rsid w:val="00D83879"/>
    <w:rsid w:val="00D84B36"/>
    <w:rsid w:val="00D85C62"/>
    <w:rsid w:val="00D87686"/>
    <w:rsid w:val="00D9044D"/>
    <w:rsid w:val="00D90F86"/>
    <w:rsid w:val="00D96501"/>
    <w:rsid w:val="00DA082D"/>
    <w:rsid w:val="00DA110D"/>
    <w:rsid w:val="00DA4E06"/>
    <w:rsid w:val="00DA5D8A"/>
    <w:rsid w:val="00DA7BD3"/>
    <w:rsid w:val="00DB3616"/>
    <w:rsid w:val="00DB7198"/>
    <w:rsid w:val="00DC3AF8"/>
    <w:rsid w:val="00DC59B9"/>
    <w:rsid w:val="00DC6B79"/>
    <w:rsid w:val="00DC78B3"/>
    <w:rsid w:val="00DD1B3B"/>
    <w:rsid w:val="00DD225C"/>
    <w:rsid w:val="00DD326B"/>
    <w:rsid w:val="00DD5CE8"/>
    <w:rsid w:val="00DD75CA"/>
    <w:rsid w:val="00DE1152"/>
    <w:rsid w:val="00DE2905"/>
    <w:rsid w:val="00DE2FB7"/>
    <w:rsid w:val="00DE31C5"/>
    <w:rsid w:val="00DE3924"/>
    <w:rsid w:val="00DE7618"/>
    <w:rsid w:val="00DF1EE1"/>
    <w:rsid w:val="00DF634D"/>
    <w:rsid w:val="00E00574"/>
    <w:rsid w:val="00E025FC"/>
    <w:rsid w:val="00E02D2D"/>
    <w:rsid w:val="00E03B00"/>
    <w:rsid w:val="00E03D21"/>
    <w:rsid w:val="00E05284"/>
    <w:rsid w:val="00E1007D"/>
    <w:rsid w:val="00E126FB"/>
    <w:rsid w:val="00E134A1"/>
    <w:rsid w:val="00E137B4"/>
    <w:rsid w:val="00E138A4"/>
    <w:rsid w:val="00E13B6B"/>
    <w:rsid w:val="00E20B78"/>
    <w:rsid w:val="00E219A2"/>
    <w:rsid w:val="00E21D1C"/>
    <w:rsid w:val="00E25916"/>
    <w:rsid w:val="00E31D6A"/>
    <w:rsid w:val="00E32330"/>
    <w:rsid w:val="00E329D2"/>
    <w:rsid w:val="00E334D7"/>
    <w:rsid w:val="00E33597"/>
    <w:rsid w:val="00E34A66"/>
    <w:rsid w:val="00E36129"/>
    <w:rsid w:val="00E3798F"/>
    <w:rsid w:val="00E409A7"/>
    <w:rsid w:val="00E42C34"/>
    <w:rsid w:val="00E52BC4"/>
    <w:rsid w:val="00E52CE3"/>
    <w:rsid w:val="00E5508A"/>
    <w:rsid w:val="00E60715"/>
    <w:rsid w:val="00E61C46"/>
    <w:rsid w:val="00E61E1A"/>
    <w:rsid w:val="00E6317F"/>
    <w:rsid w:val="00E645F1"/>
    <w:rsid w:val="00E6465B"/>
    <w:rsid w:val="00E72F60"/>
    <w:rsid w:val="00E7570C"/>
    <w:rsid w:val="00E82232"/>
    <w:rsid w:val="00E82EA8"/>
    <w:rsid w:val="00E8379F"/>
    <w:rsid w:val="00E84307"/>
    <w:rsid w:val="00E8435F"/>
    <w:rsid w:val="00E85082"/>
    <w:rsid w:val="00E853FC"/>
    <w:rsid w:val="00E9079D"/>
    <w:rsid w:val="00E90FB8"/>
    <w:rsid w:val="00E91D93"/>
    <w:rsid w:val="00EA5404"/>
    <w:rsid w:val="00EB2CD5"/>
    <w:rsid w:val="00EB4951"/>
    <w:rsid w:val="00EC1045"/>
    <w:rsid w:val="00EC35A5"/>
    <w:rsid w:val="00EC3ADE"/>
    <w:rsid w:val="00EC4C2F"/>
    <w:rsid w:val="00EC60EF"/>
    <w:rsid w:val="00ED12BE"/>
    <w:rsid w:val="00ED23B3"/>
    <w:rsid w:val="00ED28F7"/>
    <w:rsid w:val="00ED38DB"/>
    <w:rsid w:val="00ED3C43"/>
    <w:rsid w:val="00ED4939"/>
    <w:rsid w:val="00EE16B9"/>
    <w:rsid w:val="00EE27AE"/>
    <w:rsid w:val="00EE5E28"/>
    <w:rsid w:val="00EE633E"/>
    <w:rsid w:val="00EE7C15"/>
    <w:rsid w:val="00EE7E49"/>
    <w:rsid w:val="00EF042C"/>
    <w:rsid w:val="00EF4EE4"/>
    <w:rsid w:val="00EF54CF"/>
    <w:rsid w:val="00EF5A9E"/>
    <w:rsid w:val="00EF790A"/>
    <w:rsid w:val="00F01176"/>
    <w:rsid w:val="00F02F59"/>
    <w:rsid w:val="00F03402"/>
    <w:rsid w:val="00F04638"/>
    <w:rsid w:val="00F0499E"/>
    <w:rsid w:val="00F0540E"/>
    <w:rsid w:val="00F06A24"/>
    <w:rsid w:val="00F07157"/>
    <w:rsid w:val="00F11542"/>
    <w:rsid w:val="00F11892"/>
    <w:rsid w:val="00F125E5"/>
    <w:rsid w:val="00F1300A"/>
    <w:rsid w:val="00F13BA6"/>
    <w:rsid w:val="00F22813"/>
    <w:rsid w:val="00F22867"/>
    <w:rsid w:val="00F238BE"/>
    <w:rsid w:val="00F24A04"/>
    <w:rsid w:val="00F3017B"/>
    <w:rsid w:val="00F32B08"/>
    <w:rsid w:val="00F34CB9"/>
    <w:rsid w:val="00F3755C"/>
    <w:rsid w:val="00F42F40"/>
    <w:rsid w:val="00F4356C"/>
    <w:rsid w:val="00F4680D"/>
    <w:rsid w:val="00F5001B"/>
    <w:rsid w:val="00F50752"/>
    <w:rsid w:val="00F5193A"/>
    <w:rsid w:val="00F51C94"/>
    <w:rsid w:val="00F6202A"/>
    <w:rsid w:val="00F6233A"/>
    <w:rsid w:val="00F63C5F"/>
    <w:rsid w:val="00F70095"/>
    <w:rsid w:val="00F73D50"/>
    <w:rsid w:val="00F80C2B"/>
    <w:rsid w:val="00F8128F"/>
    <w:rsid w:val="00F879C0"/>
    <w:rsid w:val="00F93255"/>
    <w:rsid w:val="00FA42FE"/>
    <w:rsid w:val="00FA511B"/>
    <w:rsid w:val="00FA5417"/>
    <w:rsid w:val="00FA6A01"/>
    <w:rsid w:val="00FA7337"/>
    <w:rsid w:val="00FB0FB0"/>
    <w:rsid w:val="00FB1284"/>
    <w:rsid w:val="00FB2D66"/>
    <w:rsid w:val="00FB3F96"/>
    <w:rsid w:val="00FB5E75"/>
    <w:rsid w:val="00FB6475"/>
    <w:rsid w:val="00FB7EF4"/>
    <w:rsid w:val="00FC0E86"/>
    <w:rsid w:val="00FC151F"/>
    <w:rsid w:val="00FC4863"/>
    <w:rsid w:val="00FD037B"/>
    <w:rsid w:val="00FD0743"/>
    <w:rsid w:val="00FD3178"/>
    <w:rsid w:val="00FD6B99"/>
    <w:rsid w:val="00FD6C56"/>
    <w:rsid w:val="00FD70B9"/>
    <w:rsid w:val="00FE30A0"/>
    <w:rsid w:val="00FE600F"/>
    <w:rsid w:val="00FF79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f5ee"/>
    </o:shapedefaults>
    <o:shapelayout v:ext="edit">
      <o:idmap v:ext="edit" data="1"/>
    </o:shapelayout>
  </w:shapeDefaults>
  <w:decimalSymbol w:val="."/>
  <w:listSeparator w:val="."/>
  <w15:docId w15:val="{ADB9DE1E-48B4-4CB3-8FE6-D8F5763E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7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ED"/>
    <w:rPr>
      <w:rFonts w:ascii="Calibri" w:eastAsia="Calibri" w:hAnsi="Calibri"/>
      <w:sz w:val="22"/>
      <w:szCs w:val="22"/>
      <w:lang w:val="en-US" w:eastAsia="en-US"/>
    </w:rPr>
  </w:style>
  <w:style w:type="paragraph" w:styleId="ListParagraph">
    <w:name w:val="List Paragraph"/>
    <w:basedOn w:val="Normal"/>
    <w:qFormat/>
    <w:rsid w:val="00CE58ED"/>
    <w:pPr>
      <w:spacing w:after="200" w:line="276" w:lineRule="auto"/>
      <w:ind w:left="720"/>
    </w:pPr>
    <w:rPr>
      <w:rFonts w:ascii="Calibri" w:eastAsia="Calibri" w:hAnsi="Calibri"/>
      <w:sz w:val="22"/>
      <w:szCs w:val="22"/>
      <w:lang w:val="en-US" w:eastAsia="en-US"/>
    </w:rPr>
  </w:style>
  <w:style w:type="paragraph" w:customStyle="1" w:styleId="Default">
    <w:name w:val="Default"/>
    <w:rsid w:val="00037097"/>
    <w:pPr>
      <w:autoSpaceDE w:val="0"/>
      <w:autoSpaceDN w:val="0"/>
      <w:adjustRightInd w:val="0"/>
    </w:pPr>
    <w:rPr>
      <w:rFonts w:ascii="Arial" w:hAnsi="Arial" w:cs="Arial"/>
      <w:color w:val="000000"/>
      <w:sz w:val="24"/>
      <w:szCs w:val="24"/>
      <w:lang w:val="en-GB" w:eastAsia="en-GB"/>
    </w:rPr>
  </w:style>
  <w:style w:type="character" w:styleId="Strong">
    <w:name w:val="Strong"/>
    <w:qFormat/>
    <w:rsid w:val="00E33597"/>
    <w:rPr>
      <w:b/>
      <w:bCs/>
    </w:rPr>
  </w:style>
  <w:style w:type="paragraph" w:styleId="Header">
    <w:name w:val="header"/>
    <w:basedOn w:val="Normal"/>
    <w:rsid w:val="00FD6B99"/>
    <w:pPr>
      <w:tabs>
        <w:tab w:val="center" w:pos="4153"/>
        <w:tab w:val="right" w:pos="8306"/>
      </w:tabs>
    </w:pPr>
  </w:style>
  <w:style w:type="paragraph" w:styleId="Footer">
    <w:name w:val="footer"/>
    <w:basedOn w:val="Normal"/>
    <w:link w:val="FooterChar"/>
    <w:uiPriority w:val="99"/>
    <w:rsid w:val="00FD6B99"/>
    <w:pPr>
      <w:tabs>
        <w:tab w:val="center" w:pos="4153"/>
        <w:tab w:val="right" w:pos="8306"/>
      </w:tabs>
    </w:pPr>
  </w:style>
  <w:style w:type="character" w:styleId="PageNumber">
    <w:name w:val="page number"/>
    <w:basedOn w:val="DefaultParagraphFont"/>
    <w:rsid w:val="00FD6B99"/>
  </w:style>
  <w:style w:type="character" w:styleId="CommentReference">
    <w:name w:val="annotation reference"/>
    <w:rsid w:val="002D35C5"/>
    <w:rPr>
      <w:sz w:val="16"/>
      <w:szCs w:val="16"/>
    </w:rPr>
  </w:style>
  <w:style w:type="paragraph" w:styleId="CommentText">
    <w:name w:val="annotation text"/>
    <w:basedOn w:val="Normal"/>
    <w:link w:val="CommentTextChar"/>
    <w:rsid w:val="002D35C5"/>
    <w:rPr>
      <w:sz w:val="20"/>
      <w:szCs w:val="20"/>
    </w:rPr>
  </w:style>
  <w:style w:type="character" w:customStyle="1" w:styleId="CommentTextChar">
    <w:name w:val="Comment Text Char"/>
    <w:link w:val="CommentText"/>
    <w:rsid w:val="002D35C5"/>
    <w:rPr>
      <w:lang w:eastAsia="en-GB"/>
    </w:rPr>
  </w:style>
  <w:style w:type="paragraph" w:styleId="CommentSubject">
    <w:name w:val="annotation subject"/>
    <w:basedOn w:val="CommentText"/>
    <w:next w:val="CommentText"/>
    <w:link w:val="CommentSubjectChar"/>
    <w:rsid w:val="002D35C5"/>
    <w:rPr>
      <w:b/>
      <w:bCs/>
    </w:rPr>
  </w:style>
  <w:style w:type="character" w:customStyle="1" w:styleId="CommentSubjectChar">
    <w:name w:val="Comment Subject Char"/>
    <w:link w:val="CommentSubject"/>
    <w:rsid w:val="002D35C5"/>
    <w:rPr>
      <w:b/>
      <w:bCs/>
      <w:lang w:eastAsia="en-GB"/>
    </w:rPr>
  </w:style>
  <w:style w:type="paragraph" w:styleId="BalloonText">
    <w:name w:val="Balloon Text"/>
    <w:basedOn w:val="Normal"/>
    <w:link w:val="BalloonTextChar"/>
    <w:rsid w:val="002D35C5"/>
    <w:rPr>
      <w:rFonts w:ascii="Tahoma" w:hAnsi="Tahoma" w:cs="Tahoma"/>
      <w:sz w:val="16"/>
      <w:szCs w:val="16"/>
    </w:rPr>
  </w:style>
  <w:style w:type="character" w:customStyle="1" w:styleId="BalloonTextChar">
    <w:name w:val="Balloon Text Char"/>
    <w:link w:val="BalloonText"/>
    <w:rsid w:val="002D35C5"/>
    <w:rPr>
      <w:rFonts w:ascii="Tahoma" w:hAnsi="Tahoma" w:cs="Tahoma"/>
      <w:sz w:val="16"/>
      <w:szCs w:val="16"/>
      <w:lang w:eastAsia="en-GB"/>
    </w:rPr>
  </w:style>
  <w:style w:type="character" w:customStyle="1" w:styleId="FooterChar">
    <w:name w:val="Footer Char"/>
    <w:link w:val="Footer"/>
    <w:uiPriority w:val="99"/>
    <w:rsid w:val="005212F6"/>
    <w:rPr>
      <w:sz w:val="24"/>
      <w:szCs w:val="24"/>
      <w:lang w:eastAsia="en-GB"/>
    </w:rPr>
  </w:style>
  <w:style w:type="character" w:styleId="Hyperlink">
    <w:name w:val="Hyperlink"/>
    <w:rsid w:val="0007198C"/>
    <w:rPr>
      <w:color w:val="0000FF"/>
      <w:u w:val="single"/>
    </w:rPr>
  </w:style>
  <w:style w:type="paragraph" w:customStyle="1" w:styleId="Pa8">
    <w:name w:val="Pa8"/>
    <w:basedOn w:val="Default"/>
    <w:next w:val="Default"/>
    <w:uiPriority w:val="99"/>
    <w:rsid w:val="00747F49"/>
    <w:pPr>
      <w:spacing w:line="161" w:lineRule="atLeast"/>
    </w:pPr>
    <w:rPr>
      <w:rFonts w:ascii="Helvetica 55 Roman" w:hAnsi="Helvetica 55 Roman" w:cs="Times New Roman"/>
      <w:color w:val="auto"/>
      <w:lang w:val="en-ZA" w:eastAsia="en-ZA"/>
    </w:rPr>
  </w:style>
  <w:style w:type="paragraph" w:customStyle="1" w:styleId="ParaAttribute3">
    <w:name w:val="ParaAttribute3"/>
    <w:rsid w:val="00DA5D8A"/>
    <w:pPr>
      <w:wordWrap w:val="0"/>
      <w:spacing w:before="60" w:after="60"/>
      <w:jc w:val="both"/>
    </w:pPr>
    <w:rPr>
      <w:rFonts w:eastAsia="Batang"/>
    </w:rPr>
  </w:style>
  <w:style w:type="character" w:customStyle="1" w:styleId="CharAttribute0">
    <w:name w:val="CharAttribute0"/>
    <w:rsid w:val="00DA5D8A"/>
    <w:rPr>
      <w:rFonts w:ascii="Arial" w:eastAsia="Times New Roman"/>
      <w:sz w:val="18"/>
    </w:rPr>
  </w:style>
  <w:style w:type="character" w:customStyle="1" w:styleId="CharAttribute4">
    <w:name w:val="CharAttribute4"/>
    <w:rsid w:val="00DA5D8A"/>
    <w:rPr>
      <w:rFonts w:ascii="Arial" w:eastAsia="Times New Roman"/>
    </w:rPr>
  </w:style>
  <w:style w:type="paragraph" w:styleId="Caption">
    <w:name w:val="caption"/>
    <w:basedOn w:val="Normal"/>
    <w:next w:val="Normal"/>
    <w:unhideWhenUsed/>
    <w:qFormat/>
    <w:rsid w:val="00755CA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547">
      <w:bodyDiv w:val="1"/>
      <w:marLeft w:val="0"/>
      <w:marRight w:val="0"/>
      <w:marTop w:val="0"/>
      <w:marBottom w:val="0"/>
      <w:divBdr>
        <w:top w:val="none" w:sz="0" w:space="0" w:color="auto"/>
        <w:left w:val="none" w:sz="0" w:space="0" w:color="auto"/>
        <w:bottom w:val="none" w:sz="0" w:space="0" w:color="auto"/>
        <w:right w:val="none" w:sz="0" w:space="0" w:color="auto"/>
      </w:divBdr>
    </w:div>
    <w:div w:id="615410387">
      <w:bodyDiv w:val="1"/>
      <w:marLeft w:val="0"/>
      <w:marRight w:val="0"/>
      <w:marTop w:val="0"/>
      <w:marBottom w:val="0"/>
      <w:divBdr>
        <w:top w:val="none" w:sz="0" w:space="0" w:color="auto"/>
        <w:left w:val="none" w:sz="0" w:space="0" w:color="auto"/>
        <w:bottom w:val="none" w:sz="0" w:space="0" w:color="auto"/>
        <w:right w:val="none" w:sz="0" w:space="0" w:color="auto"/>
      </w:divBdr>
      <w:divsChild>
        <w:div w:id="1141118508">
          <w:marLeft w:val="0"/>
          <w:marRight w:val="0"/>
          <w:marTop w:val="0"/>
          <w:marBottom w:val="0"/>
          <w:divBdr>
            <w:top w:val="none" w:sz="0" w:space="0" w:color="auto"/>
            <w:left w:val="none" w:sz="0" w:space="0" w:color="auto"/>
            <w:bottom w:val="none" w:sz="0" w:space="0" w:color="auto"/>
            <w:right w:val="none" w:sz="0" w:space="0" w:color="auto"/>
          </w:divBdr>
          <w:divsChild>
            <w:div w:id="131023479">
              <w:marLeft w:val="0"/>
              <w:marRight w:val="0"/>
              <w:marTop w:val="0"/>
              <w:marBottom w:val="0"/>
              <w:divBdr>
                <w:top w:val="none" w:sz="0" w:space="0" w:color="auto"/>
                <w:left w:val="none" w:sz="0" w:space="0" w:color="auto"/>
                <w:bottom w:val="none" w:sz="0" w:space="0" w:color="auto"/>
                <w:right w:val="none" w:sz="0" w:space="0" w:color="auto"/>
              </w:divBdr>
            </w:div>
            <w:div w:id="596864204">
              <w:marLeft w:val="0"/>
              <w:marRight w:val="0"/>
              <w:marTop w:val="0"/>
              <w:marBottom w:val="0"/>
              <w:divBdr>
                <w:top w:val="none" w:sz="0" w:space="0" w:color="auto"/>
                <w:left w:val="none" w:sz="0" w:space="0" w:color="auto"/>
                <w:bottom w:val="none" w:sz="0" w:space="0" w:color="auto"/>
                <w:right w:val="none" w:sz="0" w:space="0" w:color="auto"/>
              </w:divBdr>
            </w:div>
            <w:div w:id="1483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423">
      <w:bodyDiv w:val="1"/>
      <w:marLeft w:val="0"/>
      <w:marRight w:val="0"/>
      <w:marTop w:val="0"/>
      <w:marBottom w:val="0"/>
      <w:divBdr>
        <w:top w:val="none" w:sz="0" w:space="0" w:color="auto"/>
        <w:left w:val="none" w:sz="0" w:space="0" w:color="auto"/>
        <w:bottom w:val="none" w:sz="0" w:space="0" w:color="auto"/>
        <w:right w:val="none" w:sz="0" w:space="0" w:color="auto"/>
      </w:divBdr>
      <w:divsChild>
        <w:div w:id="1628585895">
          <w:marLeft w:val="0"/>
          <w:marRight w:val="0"/>
          <w:marTop w:val="0"/>
          <w:marBottom w:val="0"/>
          <w:divBdr>
            <w:top w:val="none" w:sz="0" w:space="0" w:color="auto"/>
            <w:left w:val="none" w:sz="0" w:space="0" w:color="auto"/>
            <w:bottom w:val="none" w:sz="0" w:space="0" w:color="auto"/>
            <w:right w:val="none" w:sz="0" w:space="0" w:color="auto"/>
          </w:divBdr>
          <w:divsChild>
            <w:div w:id="9200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sb.co.za/Departments/retirementFund/Documents/UNCLAIMED%20BENEFITS%20DATA%20SEARCH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b.co.za/Departments/retirementFund/search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b.co.za/Departments/retirementFund/Documents/UNCLAIMED%20BENEFITS%20DATA%20SEARCH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sb.co.za/Departments/retirementFund/search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0E83-517A-4AB7-BF1F-EB14D087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2011/2012 Budget Speech yet again emphasises the need for sustainable economic growth and job creation in South Africa and also sets out a financial framework that is sound and achievable</vt:lpstr>
    </vt:vector>
  </TitlesOfParts>
  <Company>private</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2011/2012 Budget Speech yet again emphasises the need for sustainable economic growth and job creation in South Africa and also sets out a financial framework that is sound and achievable</dc:title>
  <dc:creator>smittel</dc:creator>
  <cp:lastModifiedBy>Adri du Plessis</cp:lastModifiedBy>
  <cp:revision>2</cp:revision>
  <cp:lastPrinted>2016-05-26T08:04:00Z</cp:lastPrinted>
  <dcterms:created xsi:type="dcterms:W3CDTF">2017-09-26T07:50:00Z</dcterms:created>
  <dcterms:modified xsi:type="dcterms:W3CDTF">2017-09-26T07:50:00Z</dcterms:modified>
</cp:coreProperties>
</file>